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7FF3D" w14:textId="55EE68BD" w:rsidR="005003BD" w:rsidRDefault="00206317">
      <w:r>
        <w:t>Nr sprawy:</w:t>
      </w:r>
      <w:r>
        <w:tab/>
      </w:r>
      <w:r>
        <w:tab/>
      </w:r>
      <w:r>
        <w:tab/>
      </w:r>
      <w:r>
        <w:tab/>
      </w:r>
      <w:r>
        <w:tab/>
      </w:r>
      <w:r>
        <w:tab/>
        <w:t>Kielce, dnia</w:t>
      </w:r>
    </w:p>
    <w:p w14:paraId="7377FF3E" w14:textId="77777777" w:rsidR="00206317" w:rsidRDefault="00206317"/>
    <w:p w14:paraId="7377FF3F" w14:textId="77777777" w:rsidR="00206317" w:rsidRPr="00206317" w:rsidRDefault="00206317" w:rsidP="00206317">
      <w:pPr>
        <w:jc w:val="center"/>
        <w:rPr>
          <w:b/>
          <w:sz w:val="36"/>
        </w:rPr>
      </w:pPr>
      <w:r w:rsidRPr="00206317">
        <w:rPr>
          <w:b/>
          <w:sz w:val="36"/>
        </w:rPr>
        <w:t xml:space="preserve">ZAPYTANIE OFERTOWE </w:t>
      </w:r>
    </w:p>
    <w:p w14:paraId="7377FF40" w14:textId="77777777" w:rsidR="00206317" w:rsidRPr="00206317" w:rsidRDefault="00206317" w:rsidP="00206317">
      <w:pPr>
        <w:jc w:val="center"/>
      </w:pPr>
      <w:r w:rsidRPr="00206317">
        <w:t>Zapraszamy do złożenia oferty cenowej w prowadzonym postępowaniu cenowym w ramach zasady konkurencyjności prowadzonej zgodnie z „Wytycznymi w zakresie kwalifikowalności wydatków w ramach Europejskiego Funduszu Rozwoju Regionalnego, Europejskiego Funduszu Społecznego oraz Funduszu Spójności na lata 2014-2020.”, którego przedmiotem jest:</w:t>
      </w:r>
    </w:p>
    <w:p w14:paraId="7773E1C3" w14:textId="77777777" w:rsidR="00632CFC" w:rsidRPr="007F4A58" w:rsidRDefault="00632CFC" w:rsidP="00632CFC">
      <w:pPr>
        <w:jc w:val="center"/>
        <w:rPr>
          <w:rFonts w:cstheme="minorHAnsi"/>
          <w:b/>
          <w:szCs w:val="24"/>
        </w:rPr>
      </w:pPr>
      <w:r w:rsidRPr="007F4A58">
        <w:rPr>
          <w:rFonts w:cstheme="minorHAnsi"/>
          <w:b/>
        </w:rPr>
        <w:t xml:space="preserve">„Dostawa oprogramowania do projektowania graficznego, oprogramowania do obróbki </w:t>
      </w:r>
      <w:r w:rsidRPr="007F4A58">
        <w:rPr>
          <w:rFonts w:cstheme="minorHAnsi"/>
          <w:b/>
          <w:szCs w:val="24"/>
        </w:rPr>
        <w:t xml:space="preserve">zdjęć,  </w:t>
      </w:r>
      <w:r w:rsidRPr="007F4A58">
        <w:rPr>
          <w:rFonts w:cstheme="minorHAnsi"/>
          <w:b/>
          <w:bCs/>
        </w:rPr>
        <w:t>Microsoft Office STD 2019 MOLP AE PL</w:t>
      </w:r>
      <w:r w:rsidRPr="007F4A58">
        <w:rPr>
          <w:rFonts w:cstheme="minorHAnsi"/>
          <w:b/>
          <w:szCs w:val="24"/>
        </w:rPr>
        <w:t xml:space="preserve">, oprogramowania </w:t>
      </w:r>
      <w:proofErr w:type="spellStart"/>
      <w:r w:rsidRPr="007F4A58">
        <w:rPr>
          <w:rFonts w:cstheme="minorHAnsi"/>
          <w:b/>
          <w:szCs w:val="24"/>
        </w:rPr>
        <w:t>enova</w:t>
      </w:r>
      <w:proofErr w:type="spellEnd"/>
      <w:r w:rsidRPr="007F4A58">
        <w:rPr>
          <w:rFonts w:cstheme="minorHAnsi"/>
          <w:b/>
          <w:szCs w:val="24"/>
        </w:rPr>
        <w:t xml:space="preserve"> 365, wraz z wdrożeniem oraz z udzieleniem licencji na oprogramowania” </w:t>
      </w:r>
    </w:p>
    <w:p w14:paraId="7377FF42" w14:textId="77777777" w:rsidR="00206317" w:rsidRPr="00206317" w:rsidRDefault="00206317" w:rsidP="00206317">
      <w:pPr>
        <w:spacing w:after="0"/>
        <w:jc w:val="center"/>
        <w:rPr>
          <w:sz w:val="20"/>
        </w:rPr>
      </w:pPr>
      <w:r w:rsidRPr="00206317">
        <w:t xml:space="preserve">w </w:t>
      </w:r>
      <w:r w:rsidRPr="00206317">
        <w:rPr>
          <w:sz w:val="20"/>
        </w:rPr>
        <w:t>celu realizacji projektu pn. „</w:t>
      </w:r>
      <w:r w:rsidRPr="00206317">
        <w:rPr>
          <w:b/>
          <w:sz w:val="20"/>
        </w:rPr>
        <w:t>Profesjonalne kadry regionu Świętokrzyskiego</w:t>
      </w:r>
      <w:r w:rsidRPr="00206317">
        <w:rPr>
          <w:sz w:val="20"/>
        </w:rPr>
        <w:t>” Poddziałanie</w:t>
      </w:r>
    </w:p>
    <w:p w14:paraId="7377FF43" w14:textId="77777777" w:rsidR="00206317" w:rsidRPr="00206317" w:rsidRDefault="00206317" w:rsidP="00206317">
      <w:pPr>
        <w:spacing w:after="0"/>
        <w:jc w:val="center"/>
        <w:rPr>
          <w:sz w:val="20"/>
        </w:rPr>
      </w:pPr>
      <w:r w:rsidRPr="00206317">
        <w:rPr>
          <w:sz w:val="20"/>
        </w:rPr>
        <w:t xml:space="preserve">8.5.3 Edukacja formalna i </w:t>
      </w:r>
      <w:proofErr w:type="spellStart"/>
      <w:r w:rsidRPr="00206317">
        <w:rPr>
          <w:sz w:val="20"/>
        </w:rPr>
        <w:t>pozaformalna</w:t>
      </w:r>
      <w:proofErr w:type="spellEnd"/>
      <w:r w:rsidRPr="00206317">
        <w:rPr>
          <w:sz w:val="20"/>
        </w:rPr>
        <w:t xml:space="preserve"> osób dorosłych</w:t>
      </w:r>
    </w:p>
    <w:p w14:paraId="7377FF44" w14:textId="77777777" w:rsidR="00206317" w:rsidRPr="00206317" w:rsidRDefault="00206317" w:rsidP="00206317">
      <w:pPr>
        <w:spacing w:after="0"/>
        <w:jc w:val="center"/>
        <w:rPr>
          <w:sz w:val="20"/>
        </w:rPr>
      </w:pPr>
      <w:r w:rsidRPr="00206317">
        <w:rPr>
          <w:sz w:val="20"/>
        </w:rPr>
        <w:t>współfinansowanego ze środków Europejskiego Funduszu Społecznego</w:t>
      </w:r>
    </w:p>
    <w:p w14:paraId="7377FF45" w14:textId="77777777" w:rsidR="00206317" w:rsidRDefault="00206317" w:rsidP="00206317">
      <w:pPr>
        <w:spacing w:after="0"/>
        <w:jc w:val="center"/>
        <w:rPr>
          <w:sz w:val="20"/>
        </w:rPr>
      </w:pPr>
      <w:r w:rsidRPr="00206317">
        <w:rPr>
          <w:sz w:val="20"/>
        </w:rPr>
        <w:t>w ramach Regionalnego Programu Operacyjnego Województwa Świętokrzyskiego na lata 2014-2020r</w:t>
      </w:r>
      <w:r>
        <w:rPr>
          <w:sz w:val="20"/>
        </w:rPr>
        <w:t>.</w:t>
      </w:r>
    </w:p>
    <w:p w14:paraId="7377FF46" w14:textId="77777777" w:rsidR="00C736B7" w:rsidRDefault="00C736B7" w:rsidP="00206317">
      <w:pPr>
        <w:spacing w:after="0"/>
        <w:jc w:val="center"/>
        <w:rPr>
          <w:sz w:val="20"/>
        </w:rPr>
      </w:pPr>
    </w:p>
    <w:p w14:paraId="7377FF47" w14:textId="77777777" w:rsidR="00206317" w:rsidRPr="00C736B7" w:rsidRDefault="00C736B7" w:rsidP="00C736B7">
      <w:pPr>
        <w:spacing w:after="0"/>
        <w:jc w:val="center"/>
        <w:rPr>
          <w:sz w:val="20"/>
        </w:rPr>
      </w:pPr>
      <w:r w:rsidRPr="00C736B7">
        <w:rPr>
          <w:b/>
          <w:sz w:val="28"/>
        </w:rPr>
        <w:t>Nazwa i adres Zamawiającego</w:t>
      </w:r>
    </w:p>
    <w:tbl>
      <w:tblPr>
        <w:tblStyle w:val="Tabela-Siatka"/>
        <w:tblW w:w="9840" w:type="dxa"/>
        <w:tblLook w:val="04A0" w:firstRow="1" w:lastRow="0" w:firstColumn="1" w:lastColumn="0" w:noHBand="0" w:noVBand="1"/>
      </w:tblPr>
      <w:tblGrid>
        <w:gridCol w:w="2689"/>
        <w:gridCol w:w="7151"/>
      </w:tblGrid>
      <w:tr w:rsidR="00C736B7" w14:paraId="7377FF4B" w14:textId="77777777" w:rsidTr="00C736B7">
        <w:trPr>
          <w:trHeight w:val="622"/>
        </w:trPr>
        <w:tc>
          <w:tcPr>
            <w:tcW w:w="2689" w:type="dxa"/>
            <w:vAlign w:val="center"/>
          </w:tcPr>
          <w:p w14:paraId="7377FF48" w14:textId="77777777" w:rsidR="00C736B7" w:rsidRPr="00C736B7" w:rsidRDefault="00C736B7" w:rsidP="00C736B7">
            <w:pPr>
              <w:jc w:val="center"/>
              <w:rPr>
                <w:b/>
              </w:rPr>
            </w:pPr>
            <w:r w:rsidRPr="00C736B7">
              <w:rPr>
                <w:b/>
              </w:rPr>
              <w:t>Zamawiający:</w:t>
            </w:r>
          </w:p>
        </w:tc>
        <w:tc>
          <w:tcPr>
            <w:tcW w:w="7151" w:type="dxa"/>
          </w:tcPr>
          <w:p w14:paraId="7377FF49" w14:textId="77777777" w:rsidR="00C736B7" w:rsidRDefault="00C736B7" w:rsidP="00C736B7">
            <w:pPr>
              <w:jc w:val="center"/>
              <w:rPr>
                <w:b/>
              </w:rPr>
            </w:pPr>
            <w:r>
              <w:rPr>
                <w:b/>
              </w:rPr>
              <w:t>Ośrodek Kształcenia i Promowania Kadr THETA</w:t>
            </w:r>
          </w:p>
          <w:p w14:paraId="7377FF4A" w14:textId="2DDBE5DA" w:rsidR="00C736B7" w:rsidRPr="00C736B7" w:rsidRDefault="00D475F4" w:rsidP="00C736B7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C736B7">
              <w:rPr>
                <w:b/>
              </w:rPr>
              <w:t>l. Warszawska 305, 24-414 Kielce</w:t>
            </w:r>
          </w:p>
        </w:tc>
      </w:tr>
      <w:tr w:rsidR="00C736B7" w14:paraId="7377FF56" w14:textId="77777777" w:rsidTr="00C736B7">
        <w:trPr>
          <w:trHeight w:val="1014"/>
        </w:trPr>
        <w:tc>
          <w:tcPr>
            <w:tcW w:w="2689" w:type="dxa"/>
            <w:vAlign w:val="center"/>
          </w:tcPr>
          <w:p w14:paraId="7377FF4C" w14:textId="77777777" w:rsidR="00C736B7" w:rsidRPr="00C736B7" w:rsidRDefault="00C736B7" w:rsidP="00C736B7">
            <w:pPr>
              <w:jc w:val="center"/>
              <w:rPr>
                <w:b/>
              </w:rPr>
            </w:pPr>
            <w:r w:rsidRPr="00C736B7">
              <w:rPr>
                <w:b/>
              </w:rPr>
              <w:t>Prowadzący rozpoznanie:</w:t>
            </w:r>
          </w:p>
        </w:tc>
        <w:tc>
          <w:tcPr>
            <w:tcW w:w="7151" w:type="dxa"/>
          </w:tcPr>
          <w:p w14:paraId="50B81B04" w14:textId="77777777" w:rsidR="00AE2054" w:rsidRPr="00C736B7" w:rsidRDefault="00AE2054" w:rsidP="00AE2054">
            <w:pPr>
              <w:jc w:val="center"/>
              <w:rPr>
                <w:sz w:val="32"/>
              </w:rPr>
            </w:pPr>
            <w:r w:rsidRPr="00C736B7">
              <w:rPr>
                <w:rFonts w:eastAsia="Verdana"/>
                <w:b/>
              </w:rPr>
              <w:t>Ośrodek Kształcenia i Promowania Kadr THETA</w:t>
            </w:r>
          </w:p>
          <w:p w14:paraId="41F14DC2" w14:textId="77777777" w:rsidR="00AE2054" w:rsidRPr="00C736B7" w:rsidRDefault="00AE2054" w:rsidP="00AE2054">
            <w:pPr>
              <w:spacing w:line="0" w:lineRule="atLeast"/>
              <w:ind w:right="20"/>
              <w:jc w:val="center"/>
              <w:rPr>
                <w:rFonts w:eastAsia="Verdana"/>
                <w:b/>
              </w:rPr>
            </w:pPr>
            <w:r w:rsidRPr="00C736B7">
              <w:rPr>
                <w:rFonts w:eastAsia="Verdana"/>
                <w:b/>
              </w:rPr>
              <w:t>Biuro Projektu</w:t>
            </w:r>
          </w:p>
          <w:p w14:paraId="6140D521" w14:textId="77777777" w:rsidR="00AE2054" w:rsidRPr="00C736B7" w:rsidRDefault="00AE2054" w:rsidP="00AE2054">
            <w:pPr>
              <w:spacing w:line="0" w:lineRule="atLeast"/>
              <w:ind w:right="20"/>
              <w:jc w:val="center"/>
              <w:rPr>
                <w:rFonts w:eastAsia="Verdana"/>
                <w:b/>
              </w:rPr>
            </w:pPr>
            <w:r w:rsidRPr="00C736B7">
              <w:rPr>
                <w:rFonts w:eastAsia="Verdana"/>
                <w:b/>
              </w:rPr>
              <w:t>„Profesjonalne kadry regionu Świętokrzyskiego”</w:t>
            </w:r>
          </w:p>
          <w:p w14:paraId="0F3D4209" w14:textId="77777777" w:rsidR="00AE2054" w:rsidRPr="00C736B7" w:rsidRDefault="00AE2054" w:rsidP="00AE2054">
            <w:pPr>
              <w:spacing w:line="0" w:lineRule="atLeast"/>
              <w:ind w:right="20"/>
              <w:jc w:val="center"/>
              <w:rPr>
                <w:rFonts w:eastAsia="Verdana"/>
              </w:rPr>
            </w:pPr>
            <w:r w:rsidRPr="00C736B7">
              <w:rPr>
                <w:rFonts w:eastAsia="Verdana"/>
              </w:rPr>
              <w:t>ul. Leszczyńska 45, 23-321 Kielce</w:t>
            </w:r>
          </w:p>
          <w:p w14:paraId="3C1B0E17" w14:textId="77777777" w:rsidR="00AE2054" w:rsidRPr="00C736B7" w:rsidRDefault="00AE2054" w:rsidP="00AE2054">
            <w:pPr>
              <w:spacing w:line="0" w:lineRule="atLeast"/>
              <w:ind w:right="20"/>
              <w:jc w:val="center"/>
              <w:rPr>
                <w:rFonts w:eastAsia="Verdana"/>
                <w:b/>
                <w:w w:val="99"/>
              </w:rPr>
            </w:pPr>
            <w:r w:rsidRPr="00C736B7">
              <w:rPr>
                <w:rFonts w:eastAsia="Verdana"/>
                <w:b/>
                <w:w w:val="99"/>
              </w:rPr>
              <w:t>Godziny pracy: Od poniedziałku do piątku</w:t>
            </w:r>
          </w:p>
          <w:p w14:paraId="74F85262" w14:textId="77777777" w:rsidR="00AE2054" w:rsidRPr="00C736B7" w:rsidRDefault="00AE2054" w:rsidP="00AE2054">
            <w:pPr>
              <w:spacing w:line="0" w:lineRule="atLeast"/>
              <w:ind w:right="20"/>
              <w:jc w:val="center"/>
              <w:rPr>
                <w:rFonts w:eastAsia="Verdana"/>
                <w:b/>
              </w:rPr>
            </w:pPr>
            <w:r w:rsidRPr="00C736B7">
              <w:rPr>
                <w:rFonts w:eastAsia="Verdana"/>
                <w:b/>
              </w:rPr>
              <w:t xml:space="preserve">w godzinach od </w:t>
            </w:r>
            <w:r>
              <w:rPr>
                <w:rFonts w:eastAsia="Verdana"/>
                <w:b/>
              </w:rPr>
              <w:t>8</w:t>
            </w:r>
            <w:r w:rsidRPr="00C736B7">
              <w:rPr>
                <w:rFonts w:eastAsia="Verdana"/>
                <w:b/>
              </w:rPr>
              <w:t>:00 do 1</w:t>
            </w:r>
            <w:r>
              <w:rPr>
                <w:rFonts w:eastAsia="Verdana"/>
                <w:b/>
              </w:rPr>
              <w:t>6</w:t>
            </w:r>
            <w:r w:rsidRPr="00C736B7">
              <w:rPr>
                <w:rFonts w:eastAsia="Verdana"/>
                <w:b/>
              </w:rPr>
              <w:t>:00</w:t>
            </w:r>
          </w:p>
          <w:p w14:paraId="757D651F" w14:textId="77777777" w:rsidR="00AE2054" w:rsidRPr="00C736B7" w:rsidRDefault="00AE2054" w:rsidP="00AE2054">
            <w:pPr>
              <w:spacing w:line="0" w:lineRule="atLeast"/>
              <w:ind w:right="20"/>
              <w:jc w:val="center"/>
              <w:rPr>
                <w:rFonts w:eastAsia="Verdana"/>
              </w:rPr>
            </w:pPr>
            <w:r w:rsidRPr="00C736B7">
              <w:rPr>
                <w:rFonts w:eastAsia="Verdana"/>
              </w:rPr>
              <w:t>tel.</w:t>
            </w:r>
            <w:r>
              <w:rPr>
                <w:rFonts w:eastAsia="Verdana"/>
              </w:rPr>
              <w:t xml:space="preserve"> 792 001 138</w:t>
            </w:r>
            <w:r w:rsidRPr="00C736B7">
              <w:rPr>
                <w:rFonts w:eastAsia="Verdana"/>
              </w:rPr>
              <w:t xml:space="preserve"> ,   fax. (</w:t>
            </w:r>
            <w:r>
              <w:rPr>
                <w:rFonts w:eastAsia="Verdana"/>
              </w:rPr>
              <w:t>41</w:t>
            </w:r>
            <w:r w:rsidRPr="00C736B7">
              <w:rPr>
                <w:rFonts w:eastAsia="Verdana"/>
              </w:rPr>
              <w:t>)</w:t>
            </w:r>
            <w:r>
              <w:rPr>
                <w:rFonts w:eastAsia="Verdana"/>
              </w:rPr>
              <w:t xml:space="preserve"> 301 00 25</w:t>
            </w:r>
            <w:r w:rsidRPr="00C736B7">
              <w:rPr>
                <w:rFonts w:eastAsia="Verdana"/>
              </w:rPr>
              <w:t>,</w:t>
            </w:r>
          </w:p>
          <w:p w14:paraId="7377FF55" w14:textId="39BCD62C" w:rsidR="00C736B7" w:rsidRDefault="00C854E6" w:rsidP="00AE2054">
            <w:pPr>
              <w:jc w:val="center"/>
            </w:pPr>
            <w:hyperlink w:history="1">
              <w:r w:rsidR="00AE2054" w:rsidRPr="00C736B7">
                <w:rPr>
                  <w:rStyle w:val="Hipercze"/>
                  <w:rFonts w:eastAsia="Verdana"/>
                </w:rPr>
                <w:t xml:space="preserve">www.thetakielce.pl  </w:t>
              </w:r>
            </w:hyperlink>
            <w:r w:rsidR="00AE2054" w:rsidRPr="00C736B7">
              <w:rPr>
                <w:rFonts w:eastAsia="Verdana"/>
                <w:color w:val="000000"/>
              </w:rPr>
              <w:t>e-mail:</w:t>
            </w:r>
            <w:r w:rsidR="00AE2054" w:rsidRPr="00C736B7">
              <w:rPr>
                <w:rFonts w:eastAsia="Verdana"/>
                <w:color w:val="0000FF"/>
              </w:rPr>
              <w:t xml:space="preserve"> </w:t>
            </w:r>
            <w:r w:rsidR="00632CFC">
              <w:rPr>
                <w:rFonts w:eastAsia="Verdana"/>
                <w:color w:val="0000FF"/>
              </w:rPr>
              <w:t>biuro@thetakielce.pl</w:t>
            </w:r>
          </w:p>
        </w:tc>
      </w:tr>
    </w:tbl>
    <w:p w14:paraId="7377FF57" w14:textId="77777777" w:rsidR="00206317" w:rsidRDefault="00206317" w:rsidP="00206317">
      <w:pPr>
        <w:spacing w:after="0"/>
      </w:pPr>
    </w:p>
    <w:p w14:paraId="7377FF58" w14:textId="77777777" w:rsidR="00C736B7" w:rsidRPr="007D4D6E" w:rsidRDefault="00CA54F9" w:rsidP="00CA54F9">
      <w:pPr>
        <w:pStyle w:val="Styl1"/>
        <w:numPr>
          <w:ilvl w:val="0"/>
          <w:numId w:val="3"/>
        </w:numPr>
        <w:rPr>
          <w:b/>
        </w:rPr>
      </w:pPr>
      <w:r w:rsidRPr="007D4D6E">
        <w:rPr>
          <w:b/>
        </w:rPr>
        <w:t>Opis przedmiotu zamówienia</w:t>
      </w:r>
    </w:p>
    <w:p w14:paraId="7377FF59" w14:textId="534D5A58" w:rsidR="00CA54F9" w:rsidRDefault="00CA54F9" w:rsidP="007D4D6E">
      <w:pPr>
        <w:pStyle w:val="Akapitzlist"/>
        <w:numPr>
          <w:ilvl w:val="0"/>
          <w:numId w:val="4"/>
        </w:numPr>
        <w:ind w:left="284"/>
        <w:jc w:val="both"/>
      </w:pPr>
      <w:r>
        <w:t xml:space="preserve">Przedmiotem zamówienia jest dostawa licencji oprogramowania dla </w:t>
      </w:r>
      <w:proofErr w:type="spellStart"/>
      <w:r>
        <w:t>OKiPK</w:t>
      </w:r>
      <w:proofErr w:type="spellEnd"/>
      <w:r>
        <w:t xml:space="preserve"> T</w:t>
      </w:r>
      <w:r w:rsidR="00632CFC">
        <w:t>HETA</w:t>
      </w:r>
      <w:r>
        <w:t xml:space="preserve"> z podziałem na części:</w:t>
      </w:r>
    </w:p>
    <w:p w14:paraId="7377FF5A" w14:textId="77777777" w:rsidR="00CA54F9" w:rsidRDefault="00CA54F9" w:rsidP="007D4D6E">
      <w:pPr>
        <w:pStyle w:val="Akapitzlist"/>
        <w:numPr>
          <w:ilvl w:val="1"/>
          <w:numId w:val="4"/>
        </w:numPr>
        <w:ind w:left="284"/>
        <w:jc w:val="both"/>
      </w:pPr>
      <w:r>
        <w:t xml:space="preserve">Część I: Dostawa licencji oprogramowania do projektowania grafiki wektorowej: </w:t>
      </w:r>
      <w:proofErr w:type="spellStart"/>
      <w:r w:rsidR="007D4D6E" w:rsidRPr="00632CFC">
        <w:rPr>
          <w:b/>
          <w:bCs/>
        </w:rPr>
        <w:t>CorelDRAW</w:t>
      </w:r>
      <w:proofErr w:type="spellEnd"/>
      <w:r w:rsidR="007D4D6E" w:rsidRPr="00632CFC">
        <w:rPr>
          <w:b/>
          <w:bCs/>
        </w:rPr>
        <w:t xml:space="preserve"> Graphics Suite 2020</w:t>
      </w:r>
      <w:r w:rsidR="007D4D6E">
        <w:t xml:space="preserve">, polska wersja językowa, działająca na systemie Windows, licencja komercyjna, wieczysta – 12 szt. lub rozwiązania równoważnego zgodnie ze szczegółowym opisem przedmiotu zamówienia. </w:t>
      </w:r>
    </w:p>
    <w:p w14:paraId="254DF20B" w14:textId="77777777" w:rsidR="00632CFC" w:rsidRDefault="007D4D6E" w:rsidP="00632CFC">
      <w:pPr>
        <w:pStyle w:val="Akapitzlist"/>
        <w:numPr>
          <w:ilvl w:val="1"/>
          <w:numId w:val="4"/>
        </w:numPr>
        <w:ind w:left="284"/>
        <w:jc w:val="both"/>
      </w:pPr>
      <w:r>
        <w:t xml:space="preserve">Część II: Dostawa licencji oprogramowania do profesjonalnej obróbki zdjęć i grafiki: </w:t>
      </w:r>
      <w:r w:rsidR="00632CFC" w:rsidRPr="007F4A58">
        <w:rPr>
          <w:rFonts w:cstheme="minorHAnsi"/>
          <w:b/>
          <w:bCs/>
        </w:rPr>
        <w:t xml:space="preserve">Program Photoshop for </w:t>
      </w:r>
      <w:proofErr w:type="spellStart"/>
      <w:r w:rsidR="00632CFC" w:rsidRPr="007F4A58">
        <w:rPr>
          <w:rFonts w:cstheme="minorHAnsi"/>
          <w:b/>
          <w:bCs/>
        </w:rPr>
        <w:t>teams</w:t>
      </w:r>
      <w:proofErr w:type="spellEnd"/>
      <w:r w:rsidR="00632CFC" w:rsidRPr="007F4A58">
        <w:rPr>
          <w:rFonts w:cstheme="minorHAnsi"/>
          <w:b/>
          <w:bCs/>
        </w:rPr>
        <w:t xml:space="preserve"> ML</w:t>
      </w:r>
      <w:r>
        <w:t xml:space="preserve">, polska wersja językowa, działająca na systemie Windows, licencja komercyjna, </w:t>
      </w:r>
      <w:r w:rsidR="00632CFC" w:rsidRPr="007F4A58">
        <w:rPr>
          <w:rFonts w:cstheme="minorHAnsi"/>
        </w:rPr>
        <w:t>(subskrypcja na 12m-cy)</w:t>
      </w:r>
      <w:r w:rsidR="00632CFC">
        <w:rPr>
          <w:rFonts w:cstheme="minorHAnsi"/>
        </w:rPr>
        <w:t xml:space="preserve"> - </w:t>
      </w:r>
      <w:r>
        <w:t>12 szt. lub rozwiązania równoważnego zgodnie ze szczegółowym opisem przedmiotu zamówienia.</w:t>
      </w:r>
    </w:p>
    <w:p w14:paraId="65238036" w14:textId="770F6977" w:rsidR="002D50E5" w:rsidRPr="00632CFC" w:rsidRDefault="002D50E5" w:rsidP="00632CFC">
      <w:pPr>
        <w:pStyle w:val="Akapitzlist"/>
        <w:numPr>
          <w:ilvl w:val="1"/>
          <w:numId w:val="4"/>
        </w:numPr>
        <w:ind w:left="284"/>
        <w:jc w:val="both"/>
      </w:pPr>
      <w:r>
        <w:lastRenderedPageBreak/>
        <w:t xml:space="preserve">Część III: Dostawa licencji oprogramowania do profesjonalnej obróbki zdjęć i grafiki: </w:t>
      </w:r>
      <w:r w:rsidR="00632CFC" w:rsidRPr="00632CFC">
        <w:rPr>
          <w:rFonts w:cstheme="minorHAnsi"/>
          <w:b/>
          <w:bCs/>
        </w:rPr>
        <w:t xml:space="preserve">Adobe </w:t>
      </w:r>
      <w:proofErr w:type="spellStart"/>
      <w:r w:rsidR="00632CFC" w:rsidRPr="00632CFC">
        <w:rPr>
          <w:rFonts w:cstheme="minorHAnsi"/>
          <w:b/>
          <w:bCs/>
        </w:rPr>
        <w:t>Illustrator</w:t>
      </w:r>
      <w:proofErr w:type="spellEnd"/>
      <w:r w:rsidR="00632CFC" w:rsidRPr="00632CFC">
        <w:rPr>
          <w:rFonts w:cstheme="minorHAnsi"/>
          <w:b/>
          <w:bCs/>
        </w:rPr>
        <w:t xml:space="preserve"> for </w:t>
      </w:r>
      <w:proofErr w:type="spellStart"/>
      <w:r w:rsidR="00632CFC" w:rsidRPr="00632CFC">
        <w:rPr>
          <w:rFonts w:cstheme="minorHAnsi"/>
          <w:b/>
          <w:bCs/>
        </w:rPr>
        <w:t>teams</w:t>
      </w:r>
      <w:proofErr w:type="spellEnd"/>
      <w:r w:rsidR="00632CFC" w:rsidRPr="00632CFC">
        <w:rPr>
          <w:rFonts w:cstheme="minorHAnsi"/>
          <w:b/>
          <w:bCs/>
        </w:rPr>
        <w:t xml:space="preserve"> ML</w:t>
      </w:r>
      <w:r>
        <w:t xml:space="preserve">, polska wersja językowa, działająca na systemie Windows, licencja komercyjna, </w:t>
      </w:r>
      <w:r w:rsidR="00632CFC" w:rsidRPr="00632CFC">
        <w:rPr>
          <w:rFonts w:cstheme="minorHAnsi"/>
        </w:rPr>
        <w:t>(subskrypcja na 12m-cy)</w:t>
      </w:r>
      <w:r w:rsidR="00632CFC" w:rsidRPr="00632CFC">
        <w:rPr>
          <w:rFonts w:cstheme="minorHAnsi"/>
        </w:rPr>
        <w:t xml:space="preserve">- </w:t>
      </w:r>
      <w:r>
        <w:t>12 szt.</w:t>
      </w:r>
      <w:r w:rsidR="00632CFC">
        <w:t>,</w:t>
      </w:r>
      <w:r>
        <w:t xml:space="preserve"> lub rozwiązania równoważnego zgodnie ze szczegółowym opisem przedmiotu zamówienia.</w:t>
      </w:r>
    </w:p>
    <w:p w14:paraId="3D0ABAE5" w14:textId="1FA3628F" w:rsidR="00761079" w:rsidRDefault="00761079" w:rsidP="00761079">
      <w:pPr>
        <w:pStyle w:val="Akapitzlist"/>
        <w:numPr>
          <w:ilvl w:val="1"/>
          <w:numId w:val="4"/>
        </w:numPr>
        <w:ind w:left="284"/>
        <w:jc w:val="both"/>
      </w:pPr>
      <w:r>
        <w:t xml:space="preserve">Część IV: Dostawa licencji oprogramowania: </w:t>
      </w:r>
      <w:r w:rsidR="00632CFC" w:rsidRPr="007F4A58">
        <w:rPr>
          <w:rFonts w:cstheme="minorHAnsi"/>
          <w:b/>
          <w:bCs/>
        </w:rPr>
        <w:t>Microsoft Office STD 2019 MOLP AE PL (najnowsza aktualna wersja oferowana przez producenta systemu z dnia składania oferty)</w:t>
      </w:r>
      <w:r>
        <w:t xml:space="preserve">, polska wersja językowa, działająca na systemie Windows, licencja komercyjna, wieczysta – </w:t>
      </w:r>
      <w:r w:rsidR="00D3586B">
        <w:t>6</w:t>
      </w:r>
      <w:r>
        <w:t xml:space="preserve"> szt. lub rozwiązania równoważnego zgodnie ze szczegółowym opisem przedmiotu zamówienia. </w:t>
      </w:r>
    </w:p>
    <w:p w14:paraId="3C24EFBC" w14:textId="4F318C24" w:rsidR="00BE0B85" w:rsidRDefault="00BE0B85" w:rsidP="00761079">
      <w:pPr>
        <w:pStyle w:val="Akapitzlist"/>
        <w:numPr>
          <w:ilvl w:val="1"/>
          <w:numId w:val="4"/>
        </w:numPr>
        <w:ind w:left="284"/>
        <w:jc w:val="both"/>
      </w:pPr>
      <w:r>
        <w:t xml:space="preserve">Część IV: Dostawa licencji oprogramowania wraz z wdrożeniem </w:t>
      </w:r>
      <w:r w:rsidRPr="00632CFC">
        <w:rPr>
          <w:b/>
          <w:bCs/>
        </w:rPr>
        <w:t>E-nova 365</w:t>
      </w:r>
      <w:r w:rsidR="00D475F4" w:rsidRPr="00632CFC">
        <w:rPr>
          <w:b/>
          <w:bCs/>
        </w:rPr>
        <w:t xml:space="preserve"> </w:t>
      </w:r>
      <w:r w:rsidR="00D475F4">
        <w:t>– działający na systemie Windows, licencja komercyjna 1 stanowisko zgodnie ze szczegółowym opisem przedmiotu zamówienia.</w:t>
      </w:r>
    </w:p>
    <w:p w14:paraId="7377FF5C" w14:textId="77777777" w:rsidR="007D4D6E" w:rsidRDefault="007D4D6E" w:rsidP="007D4D6E">
      <w:pPr>
        <w:pStyle w:val="Akapitzlist"/>
        <w:ind w:left="284"/>
        <w:jc w:val="both"/>
      </w:pPr>
    </w:p>
    <w:p w14:paraId="7377FF5D" w14:textId="77777777" w:rsidR="007D4D6E" w:rsidRDefault="007D4D6E" w:rsidP="007D4D6E">
      <w:pPr>
        <w:pStyle w:val="Akapitzlist"/>
        <w:spacing w:line="0" w:lineRule="atLeast"/>
        <w:ind w:left="284"/>
        <w:jc w:val="both"/>
      </w:pPr>
      <w:r w:rsidRPr="007D4D6E">
        <w:rPr>
          <w:b/>
        </w:rPr>
        <w:t>Kod CPV</w:t>
      </w:r>
      <w:r>
        <w:t>: 48000000-8 – P</w:t>
      </w:r>
      <w:r w:rsidRPr="009868ED">
        <w:t>akiety oprogramowania i systemy informatyczne</w:t>
      </w:r>
      <w:r>
        <w:t>.</w:t>
      </w:r>
    </w:p>
    <w:p w14:paraId="7377FF5E" w14:textId="29F2B773" w:rsidR="007D4D6E" w:rsidRDefault="007D4D6E" w:rsidP="007D4D6E">
      <w:pPr>
        <w:pStyle w:val="Akapitzlist"/>
        <w:spacing w:line="0" w:lineRule="atLeast"/>
        <w:ind w:left="284"/>
        <w:jc w:val="both"/>
      </w:pPr>
      <w:r w:rsidRPr="007D4D6E">
        <w:rPr>
          <w:b/>
        </w:rPr>
        <w:t xml:space="preserve">Kod CPV: </w:t>
      </w:r>
      <w:r>
        <w:t>48700000-5 O</w:t>
      </w:r>
      <w:r w:rsidRPr="009868ED">
        <w:t>programowanie</w:t>
      </w:r>
      <w:r>
        <w:t>.</w:t>
      </w:r>
    </w:p>
    <w:p w14:paraId="5F7486B9" w14:textId="77777777" w:rsidR="00C32F15" w:rsidRDefault="00C32F15" w:rsidP="007D4D6E">
      <w:pPr>
        <w:pStyle w:val="Akapitzlist"/>
        <w:spacing w:line="0" w:lineRule="atLeast"/>
        <w:ind w:left="284"/>
        <w:jc w:val="both"/>
      </w:pPr>
    </w:p>
    <w:p w14:paraId="7377FF5F" w14:textId="77777777" w:rsidR="00173970" w:rsidRPr="00705546" w:rsidRDefault="00173970" w:rsidP="007D4D6E">
      <w:pPr>
        <w:pStyle w:val="Akapitzlist"/>
        <w:numPr>
          <w:ilvl w:val="0"/>
          <w:numId w:val="4"/>
        </w:numPr>
        <w:tabs>
          <w:tab w:val="left" w:pos="420"/>
        </w:tabs>
        <w:spacing w:after="0" w:line="218" w:lineRule="auto"/>
        <w:ind w:left="284"/>
        <w:jc w:val="both"/>
      </w:pPr>
      <w:r w:rsidRPr="00173970">
        <w:t xml:space="preserve">Wszelkie użyte (w załączniku </w:t>
      </w:r>
      <w:r w:rsidRPr="00705546">
        <w:t xml:space="preserve">nr 1 - Szczegółowa </w:t>
      </w:r>
      <w:r w:rsidR="00F144F6" w:rsidRPr="00705546">
        <w:t>opis</w:t>
      </w:r>
      <w:r w:rsidRPr="00705546">
        <w:t xml:space="preserve"> przedmiotu zamówienia) nazwy handlowe w opisie przedmiotu zamówienia prosimy traktować jako informacje uściślającą, wiążącą dla Wykonawcy. Dopuszcza się zaoferowanie produktów równoważnych, co do ich jakości i docelowego przeznaczenia, wymiarów oraz spełnianych funkcji i walorów użytkowych. Zamawiający za produkty równoważne uzna takie, które spełnią minimalne parametry produktu wskazanego z nazwy handlowej. W przypadku przyjęcia przez Wykonawcę do wyceny produktów równoważnych, zobowiązany jest on do załączenia wykazu tych produktów.</w:t>
      </w:r>
      <w:r w:rsidR="00D56235" w:rsidRPr="00705546">
        <w:t xml:space="preserve"> W przypadku wątpliwości dotyczących równoważności oferowanego rozwiązania równoważnego Zamawiający wezwie Wykonawcę do złożenia we wskazanym terminie wyjaśnień dotyczących treści oferty. Ciężar udowodnienia równoważności spoczywa na Wykonawcy.</w:t>
      </w:r>
    </w:p>
    <w:p w14:paraId="7377FF60" w14:textId="77777777" w:rsidR="00197924" w:rsidRDefault="00197924" w:rsidP="007D4D6E">
      <w:pPr>
        <w:pStyle w:val="Akapitzlist"/>
        <w:numPr>
          <w:ilvl w:val="0"/>
          <w:numId w:val="4"/>
        </w:numPr>
        <w:tabs>
          <w:tab w:val="left" w:pos="420"/>
        </w:tabs>
        <w:spacing w:after="0" w:line="218" w:lineRule="auto"/>
        <w:ind w:left="284"/>
        <w:jc w:val="both"/>
      </w:pPr>
      <w:r w:rsidRPr="00705546">
        <w:t>W każdym miejscu Zapytania Ofertowego oraz Załącznika nr 1,</w:t>
      </w:r>
      <w:r w:rsidR="005618C9" w:rsidRPr="00705546">
        <w:t xml:space="preserve"> </w:t>
      </w:r>
      <w:r w:rsidRPr="00705546">
        <w:t xml:space="preserve">w którym użyto znaku towarowego, nazwy lub pochodzenia, Zamawiający dopuszcza zaoferowanie przez Wykonawcę rozwiązań równoważnych. Za równoważny przedmiot zamówienia Zamawiający uzna produkt o cechach (parametrach) zgodnych lub lepszych niż produkt określony w </w:t>
      </w:r>
      <w:r w:rsidR="00F144F6" w:rsidRPr="00705546">
        <w:t>S</w:t>
      </w:r>
      <w:r w:rsidRPr="00705546">
        <w:t xml:space="preserve">OPZ. Wykonawca powołujący się na rozwiązania równoważne musi wykazać, że spełniają one warunki określone w Złączniku nr 1. W celu wykazania Wykonawca jest zobligowany podać nazwę produktów równoważnych, a także przeprowadzić dowód równoważności poprzez opis porównawczy parametrów produktów wyspecyfikowanych przez Zamawiającego w </w:t>
      </w:r>
      <w:r w:rsidR="00F144F6" w:rsidRPr="00705546">
        <w:t>S</w:t>
      </w:r>
      <w:r w:rsidRPr="00705546">
        <w:t xml:space="preserve">OPZ z parametrami produktów oferowanych jako równoważne. Wykonawca w celu udowodnienia, że oferuje rozwiązania równoważne ma również obowiązek wykazać w jaki sposób oferowany model licencyjny jest równoważny </w:t>
      </w:r>
      <w:r>
        <w:t xml:space="preserve">z modelem licencyjnym wyspecyfikowanym przez Zamawiającego w </w:t>
      </w:r>
      <w:r w:rsidR="00F144F6">
        <w:t>SO</w:t>
      </w:r>
      <w:r>
        <w:t>PZ. Zastosowanie rozwiązań równoważnych nie może prowadzić do pogorszenia właściwości przedmiotu zamówienia w stosunku do przewidzianych w pierwotnej dokumentacji, ani do zmiany ceny, ani do naruszenia przepisów prawa.</w:t>
      </w:r>
    </w:p>
    <w:p w14:paraId="7377FF61" w14:textId="77777777" w:rsidR="007D4D6E" w:rsidRDefault="007D4D6E" w:rsidP="007D4D6E">
      <w:pPr>
        <w:pStyle w:val="Akapitzlist"/>
        <w:numPr>
          <w:ilvl w:val="0"/>
          <w:numId w:val="4"/>
        </w:numPr>
        <w:tabs>
          <w:tab w:val="left" w:pos="420"/>
        </w:tabs>
        <w:spacing w:after="0" w:line="218" w:lineRule="auto"/>
        <w:ind w:left="284"/>
        <w:jc w:val="both"/>
      </w:pPr>
      <w:r>
        <w:t>Szczegółowa specyfikacja sprzętu została określona w Załączniku nr 1 do Zapytania ofertowego i stanowi jego integralną część.</w:t>
      </w:r>
    </w:p>
    <w:p w14:paraId="7377FF62" w14:textId="77777777" w:rsidR="00F144F6" w:rsidRDefault="00F144F6" w:rsidP="007D4D6E">
      <w:pPr>
        <w:pStyle w:val="Akapitzlist"/>
        <w:numPr>
          <w:ilvl w:val="0"/>
          <w:numId w:val="4"/>
        </w:numPr>
        <w:tabs>
          <w:tab w:val="left" w:pos="420"/>
        </w:tabs>
        <w:spacing w:after="0" w:line="218" w:lineRule="auto"/>
        <w:ind w:left="284"/>
        <w:jc w:val="both"/>
      </w:pPr>
      <w:r>
        <w:t>Zaoferowane przez Wykonawcę oprogramowanie musi pochodzić z legalnych źródeł oraz zostać dostarczone Zamawiającemu ze wszystkimi składnikami niezbędnymi do potwierdzenia legalności jego pochodzenia (np.: oryginalny nośnik, certyfikat autentyczności, kod aktywacyjny wraz z instrukcją aktywacji, itp.), jeśli jest to niezbędne dla nabycia przez Zamawiającego praw do tego oprogramowania lub jego uruchomienia, dodatkowo w przypadku licencji równoważnych musi posiadać cechy określone w opisach równoważności znajdujących się w Szczegółowym Opisie Przedmiotu Zamówienia stanowiącego Załącznik nr 1.</w:t>
      </w:r>
    </w:p>
    <w:p w14:paraId="7377FF63" w14:textId="77777777" w:rsidR="007D4D6E" w:rsidRDefault="007D4D6E" w:rsidP="007D4D6E">
      <w:pPr>
        <w:numPr>
          <w:ilvl w:val="0"/>
          <w:numId w:val="4"/>
        </w:numPr>
        <w:tabs>
          <w:tab w:val="left" w:pos="420"/>
        </w:tabs>
        <w:spacing w:after="0" w:line="218" w:lineRule="auto"/>
        <w:ind w:left="284"/>
        <w:jc w:val="both"/>
      </w:pPr>
      <w:r w:rsidRPr="008B2897">
        <w:t xml:space="preserve">Wybór Wykonawcy odbywał się będzie z zachowaniem zasady konkurencyjności wymaganej przy realizacji projektów, bez stosowania procedur określonych w ustawie z dnia 29 stycznia 2004 r. – prawo zamówień publicznych (tekst jednolity Dz. U. 2018 r. poz. 1986). </w:t>
      </w:r>
    </w:p>
    <w:p w14:paraId="7377FF64" w14:textId="77777777" w:rsidR="007D4D6E" w:rsidRDefault="007D4D6E" w:rsidP="007D4D6E">
      <w:pPr>
        <w:numPr>
          <w:ilvl w:val="0"/>
          <w:numId w:val="4"/>
        </w:numPr>
        <w:tabs>
          <w:tab w:val="left" w:pos="420"/>
        </w:tabs>
        <w:spacing w:after="0" w:line="218" w:lineRule="auto"/>
        <w:ind w:left="284"/>
        <w:jc w:val="both"/>
      </w:pPr>
      <w:r w:rsidRPr="008B2897">
        <w:lastRenderedPageBreak/>
        <w:t xml:space="preserve">Wykonawca zobowiązuje się w toku realizacji umowy do stosowania </w:t>
      </w:r>
      <w:r>
        <w:t>„</w:t>
      </w:r>
      <w:r w:rsidRPr="008B2897">
        <w:t>Wytycznych w zakresie kwalifikowalności wydatków w ramach Europejskiego Funduszu Rozwoju Regionalnego, Europejskiego Funduszu Społecznego oraz Funduszu Spójności na lata 2014 – 2020</w:t>
      </w:r>
      <w:r>
        <w:t>”</w:t>
      </w:r>
      <w:r w:rsidRPr="008B2897">
        <w:t>.</w:t>
      </w:r>
    </w:p>
    <w:p w14:paraId="7377FF65" w14:textId="77777777" w:rsidR="007D4D6E" w:rsidRDefault="007D4D6E" w:rsidP="007D4D6E">
      <w:pPr>
        <w:numPr>
          <w:ilvl w:val="0"/>
          <w:numId w:val="4"/>
        </w:numPr>
        <w:tabs>
          <w:tab w:val="left" w:pos="420"/>
        </w:tabs>
        <w:spacing w:after="0" w:line="218" w:lineRule="auto"/>
        <w:ind w:left="284"/>
        <w:jc w:val="both"/>
      </w:pPr>
      <w:r>
        <w:t>Oferowane przedmioty zamówienia musza być fabrycznie nowe, posiadać najnowszą wersję oprogramowania oraz funkcjonalności.</w:t>
      </w:r>
    </w:p>
    <w:p w14:paraId="7377FF66" w14:textId="77777777" w:rsidR="00D56235" w:rsidRDefault="00D56235" w:rsidP="00D56235">
      <w:pPr>
        <w:numPr>
          <w:ilvl w:val="0"/>
          <w:numId w:val="4"/>
        </w:numPr>
        <w:tabs>
          <w:tab w:val="left" w:pos="420"/>
        </w:tabs>
        <w:spacing w:after="0" w:line="218" w:lineRule="auto"/>
        <w:ind w:left="284"/>
        <w:jc w:val="both"/>
      </w:pPr>
      <w:r>
        <w:t>Zamawiający dopuszcza składanie ofert częściowych.</w:t>
      </w:r>
    </w:p>
    <w:p w14:paraId="7377FF67" w14:textId="77777777" w:rsidR="00D56235" w:rsidRDefault="00D56235" w:rsidP="00D56235">
      <w:pPr>
        <w:numPr>
          <w:ilvl w:val="0"/>
          <w:numId w:val="4"/>
        </w:numPr>
        <w:tabs>
          <w:tab w:val="left" w:pos="420"/>
        </w:tabs>
        <w:spacing w:after="0" w:line="218" w:lineRule="auto"/>
        <w:ind w:left="284"/>
        <w:jc w:val="both"/>
      </w:pPr>
      <w:r>
        <w:t>Każdy Wykonawca może złożyć tylko jedna ofertę w ramach każdej z części zamówienia.</w:t>
      </w:r>
    </w:p>
    <w:p w14:paraId="7377FF68" w14:textId="77777777" w:rsidR="00D56235" w:rsidRDefault="00D56235" w:rsidP="00D56235">
      <w:pPr>
        <w:numPr>
          <w:ilvl w:val="0"/>
          <w:numId w:val="4"/>
        </w:numPr>
        <w:tabs>
          <w:tab w:val="left" w:pos="420"/>
        </w:tabs>
        <w:spacing w:after="0" w:line="218" w:lineRule="auto"/>
        <w:ind w:left="284"/>
        <w:jc w:val="both"/>
      </w:pPr>
      <w:r>
        <w:t>Zamawiający nie dopuszcza składania ofert wariantowych ani opcji.</w:t>
      </w:r>
    </w:p>
    <w:p w14:paraId="7377FF6A" w14:textId="77777777" w:rsidR="007D4D6E" w:rsidRPr="007D4D6E" w:rsidRDefault="007D4D6E" w:rsidP="007D4D6E">
      <w:pPr>
        <w:pStyle w:val="Styl1"/>
        <w:numPr>
          <w:ilvl w:val="0"/>
          <w:numId w:val="3"/>
        </w:numPr>
        <w:rPr>
          <w:b/>
        </w:rPr>
      </w:pPr>
      <w:r w:rsidRPr="007D4D6E">
        <w:rPr>
          <w:b/>
        </w:rPr>
        <w:t>Termin realizacji zamówienia</w:t>
      </w:r>
    </w:p>
    <w:p w14:paraId="7377FF6B" w14:textId="77777777" w:rsidR="007D4D6E" w:rsidRDefault="007D4D6E" w:rsidP="007D4D6E">
      <w:pPr>
        <w:pStyle w:val="Akapitzlist"/>
        <w:numPr>
          <w:ilvl w:val="0"/>
          <w:numId w:val="7"/>
        </w:numPr>
        <w:tabs>
          <w:tab w:val="left" w:pos="400"/>
        </w:tabs>
        <w:spacing w:after="0" w:line="218" w:lineRule="auto"/>
        <w:ind w:left="284"/>
        <w:jc w:val="both"/>
      </w:pPr>
      <w:r>
        <w:t>Przewidywany termin realizacji zamówienia: do 14 dni kalendarzowych od daty zawarcia umowy</w:t>
      </w:r>
      <w:r w:rsidR="00173970">
        <w:t xml:space="preserve"> dla każdej z części zamówienia</w:t>
      </w:r>
      <w:r>
        <w:t>.</w:t>
      </w:r>
    </w:p>
    <w:p w14:paraId="7377FF6C" w14:textId="77777777" w:rsidR="007D4D6E" w:rsidRPr="005618C9" w:rsidRDefault="007D4D6E" w:rsidP="007D4D6E">
      <w:pPr>
        <w:pStyle w:val="Akapitzlist"/>
        <w:numPr>
          <w:ilvl w:val="0"/>
          <w:numId w:val="7"/>
        </w:numPr>
        <w:tabs>
          <w:tab w:val="left" w:pos="400"/>
        </w:tabs>
        <w:spacing w:after="0" w:line="218" w:lineRule="auto"/>
        <w:ind w:left="284"/>
        <w:jc w:val="both"/>
      </w:pPr>
      <w:r w:rsidRPr="005618C9">
        <w:t xml:space="preserve">Okres rękojmi na dostarczony przedmiot zamówienia jest liczony od dnia podpisania Protokołu odbioru </w:t>
      </w:r>
      <w:r w:rsidR="00173970" w:rsidRPr="005618C9">
        <w:t>oddzielnie dla każdej z części zamówienia</w:t>
      </w:r>
      <w:r w:rsidRPr="005618C9">
        <w:t>.</w:t>
      </w:r>
    </w:p>
    <w:p w14:paraId="7377FF6D" w14:textId="77777777" w:rsidR="007D4D6E" w:rsidRPr="007D4D6E" w:rsidRDefault="007D4D6E" w:rsidP="007D4D6E">
      <w:pPr>
        <w:pStyle w:val="Akapitzlist"/>
        <w:numPr>
          <w:ilvl w:val="0"/>
          <w:numId w:val="7"/>
        </w:numPr>
        <w:tabs>
          <w:tab w:val="left" w:pos="400"/>
        </w:tabs>
        <w:spacing w:after="0" w:line="247" w:lineRule="exact"/>
        <w:ind w:left="284"/>
        <w:jc w:val="both"/>
        <w:rPr>
          <w:rFonts w:ascii="Times New Roman" w:eastAsia="Times New Roman" w:hAnsi="Times New Roman"/>
          <w:sz w:val="20"/>
        </w:rPr>
      </w:pPr>
      <w:r w:rsidRPr="00257C83">
        <w:t>Wykonawca zapewni wsparcie techniczne w terminie do 30 dni od daty dostarczenia przedmiotu zamówienia obejmującą wsparcie w instalacji oprogramowania, pierwszego uruchomienia oraz uwierzytelnienia licencji.</w:t>
      </w:r>
      <w:bookmarkStart w:id="0" w:name="page3"/>
      <w:bookmarkEnd w:id="0"/>
    </w:p>
    <w:p w14:paraId="7377FF6F" w14:textId="77777777" w:rsidR="00D56235" w:rsidRDefault="00D56235" w:rsidP="00D56235">
      <w:pPr>
        <w:pStyle w:val="Styl1"/>
        <w:numPr>
          <w:ilvl w:val="0"/>
          <w:numId w:val="3"/>
        </w:numPr>
      </w:pPr>
      <w:r>
        <w:t>Warunki udziału w postępowaniu oraz opis sposobu dokonywania oceny spełniania tych warunków</w:t>
      </w:r>
    </w:p>
    <w:p w14:paraId="7377FF70" w14:textId="77777777" w:rsidR="00E1613C" w:rsidRDefault="00E1613C" w:rsidP="00E1613C">
      <w:pPr>
        <w:pStyle w:val="Akapitzlist"/>
        <w:numPr>
          <w:ilvl w:val="0"/>
          <w:numId w:val="10"/>
        </w:numPr>
        <w:tabs>
          <w:tab w:val="left" w:pos="420"/>
        </w:tabs>
        <w:spacing w:after="0" w:line="217" w:lineRule="auto"/>
        <w:ind w:left="426" w:right="20"/>
      </w:pPr>
      <w:r>
        <w:t>O realizację przedmiotu zamówienia mogą się ubiegać się Wykonawcy spełniający poniższe warunki:</w:t>
      </w:r>
    </w:p>
    <w:p w14:paraId="7377FF71" w14:textId="52BE9BCD" w:rsidR="00E1613C" w:rsidRPr="00E1613C" w:rsidRDefault="00E1613C" w:rsidP="00E1613C">
      <w:pPr>
        <w:numPr>
          <w:ilvl w:val="1"/>
          <w:numId w:val="10"/>
        </w:numPr>
        <w:spacing w:after="60" w:line="240" w:lineRule="auto"/>
        <w:ind w:left="851"/>
        <w:jc w:val="both"/>
        <w:rPr>
          <w:rFonts w:ascii="Calibri" w:hAnsi="Calibri" w:cs="Arial"/>
          <w:szCs w:val="20"/>
        </w:rPr>
      </w:pPr>
      <w:r w:rsidRPr="00E1613C">
        <w:rPr>
          <w:rFonts w:ascii="Calibri" w:hAnsi="Calibri" w:cs="Arial"/>
          <w:szCs w:val="20"/>
        </w:rPr>
        <w:t xml:space="preserve">złożą oświadczenie </w:t>
      </w:r>
      <w:r>
        <w:rPr>
          <w:rFonts w:ascii="Calibri" w:hAnsi="Calibri" w:cs="Arial"/>
          <w:szCs w:val="20"/>
        </w:rPr>
        <w:t>zgodne z Załącznikiem nr</w:t>
      </w:r>
      <w:r w:rsidR="00B87165">
        <w:rPr>
          <w:rFonts w:ascii="Calibri" w:hAnsi="Calibri" w:cs="Arial"/>
          <w:szCs w:val="20"/>
        </w:rPr>
        <w:t xml:space="preserve"> 3</w:t>
      </w:r>
      <w:r w:rsidRPr="00E1613C">
        <w:rPr>
          <w:rFonts w:ascii="Calibri" w:hAnsi="Calibri" w:cs="Arial"/>
          <w:szCs w:val="20"/>
        </w:rPr>
        <w:t xml:space="preserve"> o spełnieniu warunków podmiotowych w zakresie możliwości realizacji zamówienia oraz spełniają warunki, dotyczące:</w:t>
      </w:r>
    </w:p>
    <w:p w14:paraId="7377FF72" w14:textId="77777777" w:rsidR="00E1613C" w:rsidRPr="00E1613C" w:rsidRDefault="00E1613C" w:rsidP="00E1613C">
      <w:pPr>
        <w:numPr>
          <w:ilvl w:val="0"/>
          <w:numId w:val="13"/>
        </w:numPr>
        <w:spacing w:after="60" w:line="240" w:lineRule="auto"/>
        <w:ind w:left="426"/>
        <w:jc w:val="both"/>
        <w:rPr>
          <w:rFonts w:ascii="Calibri" w:hAnsi="Calibri" w:cs="Arial"/>
          <w:b/>
          <w:szCs w:val="20"/>
        </w:rPr>
      </w:pPr>
      <w:r w:rsidRPr="00E1613C">
        <w:rPr>
          <w:rFonts w:ascii="Calibri" w:hAnsi="Calibri" w:cs="Arial"/>
          <w:b/>
          <w:szCs w:val="20"/>
        </w:rPr>
        <w:t>posiadania wiedzy i doświadczenia:</w:t>
      </w:r>
    </w:p>
    <w:p w14:paraId="7377FF73" w14:textId="77777777" w:rsidR="00D64F5C" w:rsidRDefault="00E1613C" w:rsidP="00E1613C">
      <w:pPr>
        <w:widowControl w:val="0"/>
        <w:autoSpaceDE w:val="0"/>
        <w:autoSpaceDN w:val="0"/>
        <w:adjustRightInd w:val="0"/>
        <w:spacing w:after="60"/>
        <w:ind w:left="426" w:right="-1"/>
        <w:jc w:val="both"/>
        <w:rPr>
          <w:rFonts w:ascii="Calibri" w:hAnsi="Calibri" w:cs="Arial"/>
          <w:szCs w:val="20"/>
        </w:rPr>
      </w:pPr>
      <w:r w:rsidRPr="00E1613C">
        <w:rPr>
          <w:rFonts w:ascii="Calibri" w:hAnsi="Calibri" w:cs="Arial"/>
          <w:szCs w:val="20"/>
        </w:rPr>
        <w:t>•</w:t>
      </w:r>
      <w:r w:rsidRPr="00E1613C">
        <w:rPr>
          <w:rFonts w:ascii="Calibri" w:hAnsi="Calibri" w:cs="Arial"/>
          <w:szCs w:val="20"/>
        </w:rPr>
        <w:tab/>
      </w:r>
      <w:r w:rsidR="00D64F5C">
        <w:rPr>
          <w:rFonts w:ascii="Calibri" w:hAnsi="Calibri" w:cs="Arial"/>
          <w:szCs w:val="20"/>
        </w:rPr>
        <w:t xml:space="preserve">O udzielenie zamówienia mogą się ubiegać Wykonawcy, którzy </w:t>
      </w:r>
      <w:r w:rsidRPr="00E1613C">
        <w:rPr>
          <w:rFonts w:ascii="Calibri" w:hAnsi="Calibri" w:cs="Arial"/>
          <w:szCs w:val="20"/>
        </w:rPr>
        <w:t>w okresie ostatnich 3 lat przed upływem terminu składania ofert, a jeżeli okres prowadzenia działalności jest krótszy – w tym okresie</w:t>
      </w:r>
      <w:r w:rsidR="00D64F5C">
        <w:rPr>
          <w:rFonts w:ascii="Calibri" w:hAnsi="Calibri" w:cs="Arial"/>
          <w:szCs w:val="20"/>
        </w:rPr>
        <w:t xml:space="preserve"> zrealizowali min. 2 dostawy oprogramowania i/lub sprzętu IT na kwotę min. 20 000,00 złotych każda. </w:t>
      </w:r>
    </w:p>
    <w:p w14:paraId="7377FF74" w14:textId="77777777" w:rsidR="00E1613C" w:rsidRPr="00E1613C" w:rsidRDefault="00E1613C" w:rsidP="00E1613C">
      <w:pPr>
        <w:widowControl w:val="0"/>
        <w:autoSpaceDE w:val="0"/>
        <w:autoSpaceDN w:val="0"/>
        <w:adjustRightInd w:val="0"/>
        <w:spacing w:after="60"/>
        <w:ind w:left="426" w:right="-1"/>
        <w:jc w:val="both"/>
        <w:rPr>
          <w:rFonts w:ascii="Calibri" w:hAnsi="Calibri" w:cs="Arial"/>
          <w:szCs w:val="20"/>
        </w:rPr>
      </w:pPr>
      <w:r w:rsidRPr="00E1613C">
        <w:rPr>
          <w:rFonts w:ascii="Calibri" w:hAnsi="Calibri" w:cs="Arial"/>
          <w:szCs w:val="20"/>
        </w:rPr>
        <w:t>Na potwierdzenie niniejszego warunku należy złożyć wykaz wykonanych dwóch dostaw zgodnie z warunkiem powyżej, z podaniem daty, wartości, przedmiotu dostawy oraz na rzecz kogo dostawa była realizowana.(</w:t>
      </w:r>
      <w:r w:rsidRPr="00CB0672">
        <w:rPr>
          <w:rFonts w:ascii="Calibri" w:hAnsi="Calibri" w:cs="Arial"/>
          <w:szCs w:val="20"/>
        </w:rPr>
        <w:t xml:space="preserve">załącznik nr 5) </w:t>
      </w:r>
      <w:r w:rsidRPr="00E1613C">
        <w:rPr>
          <w:rFonts w:ascii="Calibri" w:hAnsi="Calibri"/>
          <w:szCs w:val="20"/>
        </w:rPr>
        <w:t xml:space="preserve">Do każdej pozycji wykazu należy załączyć dokument potwierdzający, że dostawy zostały wykonane </w:t>
      </w:r>
      <w:r w:rsidRPr="00E1613C">
        <w:rPr>
          <w:rFonts w:ascii="Calibri" w:hAnsi="Calibri" w:cs="Arial"/>
          <w:szCs w:val="20"/>
        </w:rPr>
        <w:t>należycie.</w:t>
      </w:r>
    </w:p>
    <w:p w14:paraId="7377FF75" w14:textId="77777777" w:rsidR="00E1613C" w:rsidRPr="00E1613C" w:rsidRDefault="00E1613C" w:rsidP="00E1613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ind w:left="426" w:right="-1"/>
        <w:jc w:val="both"/>
        <w:rPr>
          <w:rFonts w:ascii="Calibri" w:hAnsi="Calibri" w:cs="Arial"/>
          <w:szCs w:val="20"/>
        </w:rPr>
      </w:pPr>
      <w:r w:rsidRPr="00E1613C">
        <w:rPr>
          <w:rFonts w:ascii="Calibri" w:hAnsi="Calibri" w:cs="Arial"/>
          <w:b/>
          <w:szCs w:val="20"/>
        </w:rPr>
        <w:t>dysponowania odpowiednim potencjałem technicznym oraz osobami zdolnymi do wykonania zamówienia:</w:t>
      </w:r>
    </w:p>
    <w:p w14:paraId="7377FF76" w14:textId="77777777" w:rsidR="00E1613C" w:rsidRPr="00E1613C" w:rsidRDefault="00E1613C" w:rsidP="00E1613C">
      <w:pPr>
        <w:widowControl w:val="0"/>
        <w:autoSpaceDE w:val="0"/>
        <w:autoSpaceDN w:val="0"/>
        <w:adjustRightInd w:val="0"/>
        <w:spacing w:after="60"/>
        <w:ind w:left="426" w:right="-1"/>
        <w:jc w:val="both"/>
        <w:rPr>
          <w:rFonts w:ascii="Calibri" w:hAnsi="Calibri" w:cs="Arial"/>
          <w:szCs w:val="20"/>
        </w:rPr>
      </w:pPr>
      <w:r w:rsidRPr="00E1613C">
        <w:rPr>
          <w:rFonts w:ascii="Calibri" w:hAnsi="Calibri" w:cs="Arial"/>
          <w:szCs w:val="20"/>
        </w:rPr>
        <w:t>Na potwierdzenie niniejszego warunku należy złożyć oświadczenie – załącznik nr 3.</w:t>
      </w:r>
    </w:p>
    <w:p w14:paraId="7377FF77" w14:textId="77777777" w:rsidR="00E1613C" w:rsidRDefault="00E1613C" w:rsidP="00E1613C">
      <w:pPr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Calibri" w:hAnsi="Calibri" w:cs="Arial"/>
          <w:b/>
          <w:szCs w:val="20"/>
        </w:rPr>
      </w:pPr>
      <w:r w:rsidRPr="00E1613C">
        <w:rPr>
          <w:rFonts w:ascii="Calibri" w:hAnsi="Calibri" w:cs="Arial"/>
          <w:b/>
          <w:szCs w:val="20"/>
        </w:rPr>
        <w:t>syt</w:t>
      </w:r>
      <w:r w:rsidR="00D64F5C">
        <w:rPr>
          <w:rFonts w:ascii="Calibri" w:hAnsi="Calibri" w:cs="Arial"/>
          <w:b/>
          <w:szCs w:val="20"/>
        </w:rPr>
        <w:t>uacji ekonomicznej i finansowej:</w:t>
      </w:r>
    </w:p>
    <w:p w14:paraId="7377FF78" w14:textId="77777777" w:rsidR="00D64F5C" w:rsidRPr="00D64F5C" w:rsidRDefault="00D64F5C" w:rsidP="00D64F5C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Calibri" w:hAnsi="Calibri" w:cs="Arial"/>
          <w:szCs w:val="20"/>
        </w:rPr>
      </w:pPr>
      <w:r w:rsidRPr="00D64F5C">
        <w:rPr>
          <w:rFonts w:ascii="Calibri" w:hAnsi="Calibri" w:cs="Arial"/>
          <w:szCs w:val="20"/>
        </w:rPr>
        <w:t xml:space="preserve">Znajdują się w sytuacji ekonomicznej  i finansowej zapewniającej wykonanie zamówienia, </w:t>
      </w:r>
    </w:p>
    <w:p w14:paraId="7377FF79" w14:textId="77777777" w:rsidR="00D64F5C" w:rsidRPr="00D64F5C" w:rsidRDefault="00D64F5C" w:rsidP="00D64F5C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Calibri" w:hAnsi="Calibri" w:cs="Arial"/>
          <w:szCs w:val="20"/>
        </w:rPr>
      </w:pPr>
      <w:r w:rsidRPr="00D64F5C">
        <w:rPr>
          <w:rFonts w:ascii="Calibri" w:hAnsi="Calibri" w:cs="Arial"/>
          <w:szCs w:val="20"/>
        </w:rPr>
        <w:t xml:space="preserve">tj.  nie  pozostają  w  stanie  likwidacji,  upadłości,  ani  nie  toczy  się  względem  nich </w:t>
      </w:r>
    </w:p>
    <w:p w14:paraId="7377FF7A" w14:textId="77777777" w:rsidR="00D64F5C" w:rsidRPr="00D64F5C" w:rsidRDefault="00D64F5C" w:rsidP="00D64F5C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Calibri" w:hAnsi="Calibri" w:cs="Arial"/>
          <w:szCs w:val="20"/>
        </w:rPr>
      </w:pPr>
      <w:r w:rsidRPr="00D64F5C">
        <w:rPr>
          <w:rFonts w:ascii="Calibri" w:hAnsi="Calibri" w:cs="Arial"/>
          <w:szCs w:val="20"/>
        </w:rPr>
        <w:t xml:space="preserve">postępowania  naprawcze,  restrukturyzacyjne  lub  sanacyjne  –  potwierdzenie  spełnienia </w:t>
      </w:r>
    </w:p>
    <w:p w14:paraId="7377FF7B" w14:textId="77777777" w:rsidR="00D64F5C" w:rsidRPr="00D64F5C" w:rsidRDefault="00D64F5C" w:rsidP="00D64F5C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lastRenderedPageBreak/>
        <w:t>warunku – załącznik nr 3</w:t>
      </w:r>
      <w:r w:rsidRPr="00D64F5C">
        <w:rPr>
          <w:rFonts w:ascii="Calibri" w:hAnsi="Calibri" w:cs="Arial"/>
          <w:szCs w:val="20"/>
        </w:rPr>
        <w:t xml:space="preserve"> do zapytania ofertowego.</w:t>
      </w:r>
    </w:p>
    <w:p w14:paraId="7377FF7C" w14:textId="77777777" w:rsidR="00E1613C" w:rsidRPr="00E1613C" w:rsidRDefault="00E1613C" w:rsidP="00E1613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ind w:left="426"/>
        <w:rPr>
          <w:rFonts w:ascii="Calibri" w:hAnsi="Calibri" w:cs="Arial"/>
          <w:b/>
          <w:bCs/>
          <w:i/>
          <w:iCs/>
          <w:szCs w:val="20"/>
        </w:rPr>
      </w:pPr>
      <w:r w:rsidRPr="00E1613C">
        <w:rPr>
          <w:rFonts w:ascii="Calibri" w:hAnsi="Calibri" w:cs="Arial"/>
          <w:b/>
          <w:bCs/>
          <w:iCs/>
          <w:szCs w:val="20"/>
        </w:rPr>
        <w:t>nie podlegają wykluczeniu.</w:t>
      </w:r>
    </w:p>
    <w:p w14:paraId="7377FF7D" w14:textId="77777777" w:rsidR="00E1613C" w:rsidRPr="00E1613C" w:rsidRDefault="00E1613C" w:rsidP="00E1613C">
      <w:pPr>
        <w:spacing w:after="60"/>
        <w:ind w:left="426"/>
        <w:jc w:val="both"/>
        <w:rPr>
          <w:rFonts w:ascii="Calibri" w:hAnsi="Calibri" w:cs="Arial"/>
          <w:szCs w:val="20"/>
        </w:rPr>
      </w:pPr>
      <w:r w:rsidRPr="00E1613C">
        <w:rPr>
          <w:rFonts w:ascii="Calibri" w:hAnsi="Calibri" w:cs="Arial"/>
          <w:szCs w:val="20"/>
        </w:rPr>
        <w:t>W celu wykazania braku podstaw do wykluczenia należy złożyć oświadczenie – załącznik nr 3</w:t>
      </w:r>
    </w:p>
    <w:p w14:paraId="7377FF7E" w14:textId="77777777" w:rsidR="00E1613C" w:rsidRPr="00EA0492" w:rsidRDefault="00E1613C" w:rsidP="00EA04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Calibri" w:hAnsi="Calibri" w:cs="Arial"/>
          <w:szCs w:val="20"/>
          <w:u w:val="single"/>
        </w:rPr>
      </w:pPr>
      <w:r w:rsidRPr="00EA0492">
        <w:rPr>
          <w:rFonts w:ascii="Calibri" w:hAnsi="Calibri" w:cs="Arial"/>
          <w:b/>
          <w:szCs w:val="20"/>
          <w:u w:val="single"/>
        </w:rPr>
        <w:t xml:space="preserve">Zamawiający dokona oceny spełnienia wymaganych warunków na podstawie załączonych do ofert dokumentów i oświadczeń metodą spełnia/nie spełnia. </w:t>
      </w:r>
    </w:p>
    <w:p w14:paraId="7377FF7F" w14:textId="77777777" w:rsidR="00E1613C" w:rsidRPr="00E1613C" w:rsidRDefault="00E1613C" w:rsidP="00EA0492">
      <w:pPr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Calibri" w:hAnsi="Calibri" w:cs="Arial"/>
          <w:szCs w:val="20"/>
          <w:u w:val="single"/>
        </w:rPr>
      </w:pPr>
      <w:r w:rsidRPr="00E1613C">
        <w:rPr>
          <w:rFonts w:ascii="Calibri" w:hAnsi="Calibri" w:cs="Arial"/>
          <w:b/>
          <w:szCs w:val="20"/>
          <w:u w:val="single"/>
        </w:rPr>
        <w:t>Warunki wykluczające z udziału w postępowaniu.</w:t>
      </w:r>
    </w:p>
    <w:p w14:paraId="7377FF80" w14:textId="77777777" w:rsidR="00E1613C" w:rsidRDefault="00E1613C" w:rsidP="00C93FDA">
      <w:pPr>
        <w:pStyle w:val="pkt"/>
        <w:numPr>
          <w:ilvl w:val="0"/>
          <w:numId w:val="12"/>
        </w:numPr>
        <w:spacing w:before="0"/>
        <w:ind w:left="426"/>
        <w:rPr>
          <w:rFonts w:ascii="Calibri" w:hAnsi="Calibri" w:cs="Arial"/>
          <w:sz w:val="22"/>
        </w:rPr>
      </w:pPr>
      <w:r w:rsidRPr="00E1613C">
        <w:rPr>
          <w:rFonts w:ascii="Calibri" w:hAnsi="Calibri" w:cs="Arial"/>
          <w:sz w:val="22"/>
        </w:rPr>
        <w:t>Z postępowania o udzielenie zamówienia wyklucza się wykonawców w przypadkach niespełnienia opisanych warunków.</w:t>
      </w:r>
    </w:p>
    <w:p w14:paraId="7377FF81" w14:textId="77777777" w:rsidR="00C93FDA" w:rsidRPr="00C93FDA" w:rsidRDefault="00C93FDA" w:rsidP="00C93FDA">
      <w:pPr>
        <w:pStyle w:val="pkt"/>
        <w:numPr>
          <w:ilvl w:val="0"/>
          <w:numId w:val="12"/>
        </w:numPr>
        <w:ind w:left="426"/>
        <w:rPr>
          <w:rFonts w:ascii="Calibri" w:hAnsi="Calibri" w:cs="Arial"/>
          <w:sz w:val="22"/>
        </w:rPr>
      </w:pPr>
      <w:r w:rsidRPr="00C93FDA">
        <w:rPr>
          <w:rFonts w:ascii="Calibri" w:hAnsi="Calibri" w:cs="Arial"/>
          <w:sz w:val="22"/>
        </w:rPr>
        <w:t xml:space="preserve">Z  udziału  w  postępowaniu  wykluczone  są  podmioty  powiązane  osobowo  i  kapitałowo </w:t>
      </w:r>
      <w:r>
        <w:rPr>
          <w:rFonts w:ascii="Calibri" w:hAnsi="Calibri" w:cs="Arial"/>
          <w:sz w:val="22"/>
        </w:rPr>
        <w:br/>
      </w:r>
      <w:r w:rsidRPr="00C93FDA">
        <w:rPr>
          <w:rFonts w:ascii="Calibri" w:hAnsi="Calibri" w:cs="Arial"/>
          <w:sz w:val="22"/>
        </w:rPr>
        <w:t xml:space="preserve">z Zamawiającym.  Przez  powiązania  kapitałowe  lub  osobowe  rozumie  się  wzajemne powiązania  między  Zamawiającym  lub  osobami  upoważnionymi  do  zaciągania  zobowiązań  w  imieniu  Zamawiającego  lub  osobami  wykonującymi  w  imieniu  Zamawiającego  czynności  związane  </w:t>
      </w:r>
      <w:r>
        <w:rPr>
          <w:rFonts w:ascii="Calibri" w:hAnsi="Calibri" w:cs="Arial"/>
          <w:sz w:val="22"/>
        </w:rPr>
        <w:br/>
      </w:r>
      <w:r w:rsidRPr="00C93FDA">
        <w:rPr>
          <w:rFonts w:ascii="Calibri" w:hAnsi="Calibri" w:cs="Arial"/>
          <w:sz w:val="22"/>
        </w:rPr>
        <w:t>z przygotowaniem i przeprowadzeniem procedury wyboru Wykonawcy a Wykonawcą, polegające w szczególności na:</w:t>
      </w:r>
    </w:p>
    <w:p w14:paraId="7377FF82" w14:textId="77777777" w:rsidR="00C93FDA" w:rsidRPr="00C93FDA" w:rsidRDefault="00C93FDA" w:rsidP="00C93FDA">
      <w:pPr>
        <w:pStyle w:val="pkt"/>
        <w:rPr>
          <w:rFonts w:ascii="Calibri" w:hAnsi="Calibri" w:cs="Arial"/>
          <w:sz w:val="22"/>
        </w:rPr>
      </w:pPr>
      <w:r w:rsidRPr="00C93FDA">
        <w:rPr>
          <w:rFonts w:ascii="Calibri" w:hAnsi="Calibri" w:cs="Arial"/>
          <w:sz w:val="22"/>
        </w:rPr>
        <w:t>1)  uczestniczeniu w spółce jako wspólnik spółki cywilnej lub spółki osobowej;</w:t>
      </w:r>
    </w:p>
    <w:p w14:paraId="7377FF83" w14:textId="77777777" w:rsidR="00C93FDA" w:rsidRPr="00C93FDA" w:rsidRDefault="00C93FDA" w:rsidP="00C93FDA">
      <w:pPr>
        <w:pStyle w:val="pkt"/>
        <w:rPr>
          <w:rFonts w:ascii="Calibri" w:hAnsi="Calibri" w:cs="Arial"/>
          <w:sz w:val="22"/>
        </w:rPr>
      </w:pPr>
      <w:r w:rsidRPr="00C93FDA">
        <w:rPr>
          <w:rFonts w:ascii="Calibri" w:hAnsi="Calibri" w:cs="Arial"/>
          <w:sz w:val="22"/>
        </w:rPr>
        <w:t>2)  posiadaniu co najmniej 10% udziałów lub akcji;</w:t>
      </w:r>
    </w:p>
    <w:p w14:paraId="7377FF84" w14:textId="77777777" w:rsidR="00C93FDA" w:rsidRPr="00C93FDA" w:rsidRDefault="00C93FDA" w:rsidP="00C93FDA">
      <w:pPr>
        <w:pStyle w:val="pkt"/>
        <w:rPr>
          <w:rFonts w:ascii="Calibri" w:hAnsi="Calibri" w:cs="Arial"/>
          <w:sz w:val="22"/>
        </w:rPr>
      </w:pPr>
      <w:r w:rsidRPr="00C93FDA">
        <w:rPr>
          <w:rFonts w:ascii="Calibri" w:hAnsi="Calibri" w:cs="Arial"/>
          <w:sz w:val="22"/>
        </w:rPr>
        <w:t>3)  pełnieniu funkcji członka organu nadzorczego lub zarządzającego, prokurenta, pełnomocnika;</w:t>
      </w:r>
    </w:p>
    <w:p w14:paraId="7377FF85" w14:textId="77777777" w:rsidR="00C93FDA" w:rsidRPr="00C93FDA" w:rsidRDefault="00C93FDA" w:rsidP="00C93FDA">
      <w:pPr>
        <w:pStyle w:val="pkt"/>
        <w:rPr>
          <w:rFonts w:ascii="Calibri" w:hAnsi="Calibri" w:cs="Arial"/>
          <w:sz w:val="22"/>
        </w:rPr>
      </w:pPr>
      <w:r w:rsidRPr="00C93FDA">
        <w:rPr>
          <w:rFonts w:ascii="Calibri" w:hAnsi="Calibri" w:cs="Arial"/>
          <w:sz w:val="22"/>
        </w:rPr>
        <w:t xml:space="preserve">4)  pozostawaniu w związku małżeńskim, w stosunku pokrewieństwa lub powinowactwa w linii </w:t>
      </w:r>
    </w:p>
    <w:p w14:paraId="7377FF86" w14:textId="77777777" w:rsidR="00C93FDA" w:rsidRPr="00C93FDA" w:rsidRDefault="00C93FDA" w:rsidP="00C93FDA">
      <w:pPr>
        <w:pStyle w:val="pkt"/>
        <w:rPr>
          <w:rFonts w:ascii="Calibri" w:hAnsi="Calibri" w:cs="Arial"/>
          <w:sz w:val="22"/>
        </w:rPr>
      </w:pPr>
      <w:r w:rsidRPr="00C93FDA">
        <w:rPr>
          <w:rFonts w:ascii="Calibri" w:hAnsi="Calibri" w:cs="Arial"/>
          <w:sz w:val="22"/>
        </w:rPr>
        <w:t xml:space="preserve">prostej, pokrewieństwa drugiego stopnia lub powinowactwa drugiego stopnia w linii bocznej </w:t>
      </w:r>
    </w:p>
    <w:p w14:paraId="7377FF87" w14:textId="77777777" w:rsidR="00C93FDA" w:rsidRDefault="00C93FDA" w:rsidP="00C93FDA">
      <w:pPr>
        <w:pStyle w:val="pkt"/>
        <w:spacing w:before="0"/>
        <w:rPr>
          <w:rFonts w:ascii="Calibri" w:hAnsi="Calibri" w:cs="Arial"/>
          <w:sz w:val="22"/>
        </w:rPr>
      </w:pPr>
      <w:r w:rsidRPr="00C93FDA">
        <w:rPr>
          <w:rFonts w:ascii="Calibri" w:hAnsi="Calibri" w:cs="Arial"/>
          <w:sz w:val="22"/>
        </w:rPr>
        <w:t>lub w stosunku przysposobienia, opieki lub kurateli.</w:t>
      </w:r>
    </w:p>
    <w:p w14:paraId="7377FF88" w14:textId="77777777" w:rsidR="00EA0492" w:rsidRDefault="00EA0492" w:rsidP="00EA0492">
      <w:pPr>
        <w:pStyle w:val="pkt"/>
        <w:numPr>
          <w:ilvl w:val="0"/>
          <w:numId w:val="16"/>
        </w:numPr>
        <w:spacing w:before="0"/>
        <w:ind w:left="567"/>
        <w:rPr>
          <w:rFonts w:ascii="Calibri" w:hAnsi="Calibri" w:cs="Arial"/>
          <w:sz w:val="22"/>
        </w:rPr>
      </w:pPr>
      <w:r w:rsidRPr="00EA0492">
        <w:rPr>
          <w:rFonts w:ascii="Calibri" w:hAnsi="Calibri" w:cs="Arial"/>
          <w:sz w:val="22"/>
        </w:rPr>
        <w:t>wyrządzili szkodę nie wykonując zamówienia lub wykonując je nienależycie, jeżeli szkoda ta została stwierdzona prawomocnym orzeczeniem sądu wydanym w okresie 3 lat przed wszczęciem postępowania</w:t>
      </w:r>
      <w:r>
        <w:rPr>
          <w:rFonts w:ascii="Calibri" w:hAnsi="Calibri" w:cs="Arial"/>
          <w:sz w:val="22"/>
        </w:rPr>
        <w:t>.</w:t>
      </w:r>
    </w:p>
    <w:p w14:paraId="7377FF89" w14:textId="77777777" w:rsidR="00EA0492" w:rsidRDefault="00EA0492" w:rsidP="00EA0492">
      <w:pPr>
        <w:pStyle w:val="pkt"/>
        <w:numPr>
          <w:ilvl w:val="0"/>
          <w:numId w:val="16"/>
        </w:numPr>
        <w:spacing w:before="0"/>
        <w:ind w:left="567"/>
        <w:rPr>
          <w:rFonts w:ascii="Calibri" w:hAnsi="Calibri" w:cs="Arial"/>
          <w:sz w:val="22"/>
        </w:rPr>
      </w:pPr>
      <w:r w:rsidRPr="00EA0492">
        <w:rPr>
          <w:rFonts w:ascii="Calibri" w:hAnsi="Calibri" w:cs="Arial"/>
          <w:sz w:val="22"/>
        </w:rPr>
        <w:t>zalegają z uiszczaniem podatków, opłat lub składek na ubezpieczenia społeczne lub zdrowotne, z wyjątkiem przypadków, gdy uzyskali oni przewidziane prawem zwolnienie, odroczenie, rozłożenie na raty zaległych płatności lub wstrzymanie w całości wykonania decyzji właściwego organu</w:t>
      </w:r>
      <w:r>
        <w:rPr>
          <w:rFonts w:ascii="Calibri" w:hAnsi="Calibri" w:cs="Arial"/>
          <w:sz w:val="22"/>
        </w:rPr>
        <w:t>.</w:t>
      </w:r>
    </w:p>
    <w:p w14:paraId="7377FF8A" w14:textId="77777777" w:rsidR="00EA0492" w:rsidRPr="00EA0492" w:rsidRDefault="00EA0492" w:rsidP="00EA0492">
      <w:pPr>
        <w:pStyle w:val="Akapitzlist"/>
        <w:numPr>
          <w:ilvl w:val="0"/>
          <w:numId w:val="16"/>
        </w:numPr>
        <w:ind w:left="567"/>
        <w:rPr>
          <w:rFonts w:ascii="Calibri" w:eastAsia="Times New Roman" w:hAnsi="Calibri" w:cs="Arial"/>
          <w:szCs w:val="20"/>
          <w:lang w:eastAsia="pl-PL"/>
        </w:rPr>
      </w:pPr>
      <w:r w:rsidRPr="00EA0492">
        <w:rPr>
          <w:rFonts w:ascii="Calibri" w:eastAsia="Times New Roman" w:hAnsi="Calibri" w:cs="Arial"/>
          <w:szCs w:val="20"/>
          <w:lang w:eastAsia="pl-PL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14:paraId="7377FF8B" w14:textId="77777777" w:rsidR="00EA0492" w:rsidRDefault="00EA0492" w:rsidP="00EA0492">
      <w:pPr>
        <w:pStyle w:val="Akapitzlist"/>
        <w:numPr>
          <w:ilvl w:val="0"/>
          <w:numId w:val="16"/>
        </w:numPr>
        <w:ind w:left="567"/>
        <w:rPr>
          <w:rFonts w:ascii="Calibri" w:eastAsia="Times New Roman" w:hAnsi="Calibri" w:cs="Arial"/>
          <w:szCs w:val="20"/>
          <w:lang w:eastAsia="pl-PL"/>
        </w:rPr>
      </w:pPr>
      <w:r w:rsidRPr="00EA0492">
        <w:rPr>
          <w:rFonts w:ascii="Calibri" w:eastAsia="Times New Roman" w:hAnsi="Calibri" w:cs="Arial"/>
          <w:szCs w:val="20"/>
          <w:lang w:eastAsia="pl-PL"/>
        </w:rPr>
        <w:t>złożyli nieprawdziwe informacje mające wpływ na wynik prowadzonego postępowania.</w:t>
      </w:r>
    </w:p>
    <w:p w14:paraId="7377FF8D" w14:textId="77777777" w:rsidR="00EA0492" w:rsidRDefault="00EA0492" w:rsidP="00EA0492">
      <w:pPr>
        <w:pStyle w:val="Styl1"/>
        <w:numPr>
          <w:ilvl w:val="0"/>
          <w:numId w:val="3"/>
        </w:numPr>
        <w:rPr>
          <w:b/>
        </w:rPr>
      </w:pPr>
      <w:r w:rsidRPr="00EA0492">
        <w:rPr>
          <w:b/>
        </w:rPr>
        <w:t>Sposób przygotowania i złożenia oferty</w:t>
      </w:r>
    </w:p>
    <w:p w14:paraId="7377FF8E" w14:textId="77777777" w:rsidR="00EA0492" w:rsidRDefault="00EA0492" w:rsidP="00245DE0">
      <w:pPr>
        <w:pStyle w:val="Akapitzlist"/>
        <w:numPr>
          <w:ilvl w:val="0"/>
          <w:numId w:val="17"/>
        </w:numPr>
        <w:spacing w:after="0" w:line="218" w:lineRule="auto"/>
        <w:ind w:left="0" w:right="20"/>
      </w:pPr>
      <w:r>
        <w:t xml:space="preserve">Oferta składana przez Wykonawcę musi być wypełniona czytelnie, w języku polskim oraz </w:t>
      </w:r>
      <w:r w:rsidR="00245DE0">
        <w:t xml:space="preserve">          </w:t>
      </w:r>
      <w:r>
        <w:t>zostać złożona na formularzach stanowiących załączniki do niniejszego zapytania ofertowego.</w:t>
      </w:r>
    </w:p>
    <w:p w14:paraId="7377FF8F" w14:textId="77777777" w:rsidR="00EA0492" w:rsidRDefault="00EA0492" w:rsidP="00245DE0">
      <w:pPr>
        <w:numPr>
          <w:ilvl w:val="0"/>
          <w:numId w:val="17"/>
        </w:numPr>
        <w:tabs>
          <w:tab w:val="left" w:pos="400"/>
        </w:tabs>
        <w:spacing w:after="0" w:line="218" w:lineRule="auto"/>
        <w:ind w:left="426" w:hanging="360"/>
      </w:pPr>
      <w:r>
        <w:t>Wszystkie wymagane załączniki muszą być podpisane przez Wykonawcę, dokumenty powielane muszą posiadać adnotację „za zgodność z oryginałem”.</w:t>
      </w:r>
    </w:p>
    <w:p w14:paraId="7377FF90" w14:textId="77777777" w:rsidR="00EA0492" w:rsidRPr="00CB0672" w:rsidRDefault="00EA0492" w:rsidP="00245DE0">
      <w:pPr>
        <w:numPr>
          <w:ilvl w:val="0"/>
          <w:numId w:val="17"/>
        </w:numPr>
        <w:tabs>
          <w:tab w:val="left" w:pos="400"/>
        </w:tabs>
        <w:spacing w:after="0" w:line="0" w:lineRule="atLeast"/>
        <w:ind w:left="426" w:hanging="360"/>
      </w:pPr>
      <w:r>
        <w:lastRenderedPageBreak/>
        <w:t xml:space="preserve">Wykaz </w:t>
      </w:r>
      <w:r w:rsidRPr="00CB0672">
        <w:t>wymaganych załączników składających się na całość oferty:</w:t>
      </w:r>
    </w:p>
    <w:p w14:paraId="7377FF91" w14:textId="77777777" w:rsidR="00245DE0" w:rsidRPr="00CB0672" w:rsidRDefault="00EA0492" w:rsidP="00245DE0">
      <w:pPr>
        <w:numPr>
          <w:ilvl w:val="2"/>
          <w:numId w:val="17"/>
        </w:numPr>
        <w:tabs>
          <w:tab w:val="left" w:pos="1701"/>
        </w:tabs>
        <w:spacing w:after="0" w:line="234" w:lineRule="auto"/>
        <w:ind w:left="1560" w:hanging="364"/>
        <w:jc w:val="both"/>
      </w:pPr>
      <w:r w:rsidRPr="00CB0672">
        <w:t>Oferta ceno</w:t>
      </w:r>
      <w:r w:rsidR="00CB0672" w:rsidRPr="00CB0672">
        <w:t>wa – zgodnie z Załącznikiem nr 2</w:t>
      </w:r>
      <w:r w:rsidRPr="00CB0672">
        <w:t>,</w:t>
      </w:r>
    </w:p>
    <w:p w14:paraId="7377FF92" w14:textId="77777777" w:rsidR="00245DE0" w:rsidRPr="00CB0672" w:rsidRDefault="00EA0492" w:rsidP="00245DE0">
      <w:pPr>
        <w:numPr>
          <w:ilvl w:val="2"/>
          <w:numId w:val="17"/>
        </w:numPr>
        <w:tabs>
          <w:tab w:val="left" w:pos="1701"/>
        </w:tabs>
        <w:spacing w:after="0" w:line="234" w:lineRule="auto"/>
        <w:ind w:left="1560" w:hanging="364"/>
        <w:jc w:val="both"/>
      </w:pPr>
      <w:r w:rsidRPr="00CB0672">
        <w:t xml:space="preserve">Oświadczenie o </w:t>
      </w:r>
      <w:r w:rsidR="00CB0672" w:rsidRPr="00CB0672">
        <w:t>spełnieniu warunków postępowania</w:t>
      </w:r>
      <w:r w:rsidRPr="00CB0672">
        <w:t xml:space="preserve">– zgodnie z Załącznikiem </w:t>
      </w:r>
      <w:r w:rsidR="00CB0672" w:rsidRPr="00CB0672">
        <w:t>nr 3</w:t>
      </w:r>
    </w:p>
    <w:p w14:paraId="7377FF93" w14:textId="77777777" w:rsidR="00EA0492" w:rsidRPr="00CB0672" w:rsidRDefault="00245DE0" w:rsidP="00245DE0">
      <w:pPr>
        <w:numPr>
          <w:ilvl w:val="2"/>
          <w:numId w:val="17"/>
        </w:numPr>
        <w:tabs>
          <w:tab w:val="left" w:pos="1701"/>
        </w:tabs>
        <w:spacing w:after="0" w:line="234" w:lineRule="auto"/>
        <w:ind w:left="1560" w:hanging="364"/>
        <w:jc w:val="both"/>
      </w:pPr>
      <w:r w:rsidRPr="00CB0672">
        <w:t xml:space="preserve"> </w:t>
      </w:r>
      <w:r w:rsidR="00CB0672" w:rsidRPr="00CB0672">
        <w:t>Oświadczenie o braku powiązań z Zamawiającym – zgodnie z Załącznikiem nr 4</w:t>
      </w:r>
    </w:p>
    <w:p w14:paraId="7377FF94" w14:textId="77777777" w:rsidR="00CB0672" w:rsidRDefault="00CB0672" w:rsidP="00245DE0">
      <w:pPr>
        <w:numPr>
          <w:ilvl w:val="2"/>
          <w:numId w:val="17"/>
        </w:numPr>
        <w:tabs>
          <w:tab w:val="left" w:pos="1701"/>
        </w:tabs>
        <w:spacing w:after="0" w:line="234" w:lineRule="auto"/>
        <w:ind w:left="1560" w:hanging="364"/>
        <w:jc w:val="both"/>
      </w:pPr>
      <w:r w:rsidRPr="00CB0672">
        <w:t xml:space="preserve">Wykaz wykonanych dostaw – zgodnie z Załącznikiem </w:t>
      </w:r>
      <w:r>
        <w:t>nr 5.</w:t>
      </w:r>
    </w:p>
    <w:p w14:paraId="7377FF95" w14:textId="77777777" w:rsidR="00EA0492" w:rsidRDefault="00EA0492" w:rsidP="00245DE0">
      <w:pPr>
        <w:numPr>
          <w:ilvl w:val="0"/>
          <w:numId w:val="17"/>
        </w:numPr>
        <w:tabs>
          <w:tab w:val="left" w:pos="400"/>
        </w:tabs>
        <w:spacing w:after="0" w:line="217" w:lineRule="auto"/>
        <w:ind w:left="426" w:right="20" w:hanging="360"/>
      </w:pPr>
      <w:r>
        <w:t>Zamawiający dokona oceny formalnej wszystkich złożonych ofert pod kątem zgodności z treścią zapytania ofertowego. Oferta może być odrzucona jeżeli:</w:t>
      </w:r>
    </w:p>
    <w:p w14:paraId="7377FF96" w14:textId="77777777" w:rsidR="00EA0492" w:rsidRDefault="00EA0492" w:rsidP="00245DE0">
      <w:pPr>
        <w:pStyle w:val="Akapitzlist"/>
        <w:numPr>
          <w:ilvl w:val="2"/>
          <w:numId w:val="23"/>
        </w:numPr>
        <w:tabs>
          <w:tab w:val="left" w:pos="1843"/>
        </w:tabs>
        <w:spacing w:after="0" w:line="0" w:lineRule="atLeast"/>
        <w:ind w:left="1701" w:hanging="321"/>
      </w:pPr>
      <w:r>
        <w:t>Została złożona przez osobę nieuprawnioną,</w:t>
      </w:r>
    </w:p>
    <w:p w14:paraId="7377FF97" w14:textId="77777777" w:rsidR="00245DE0" w:rsidRDefault="00EA0492" w:rsidP="00245DE0">
      <w:pPr>
        <w:pStyle w:val="Akapitzlist"/>
        <w:numPr>
          <w:ilvl w:val="2"/>
          <w:numId w:val="23"/>
        </w:numPr>
        <w:tabs>
          <w:tab w:val="left" w:pos="1420"/>
        </w:tabs>
        <w:spacing w:after="0" w:line="0" w:lineRule="atLeast"/>
        <w:ind w:left="1701" w:hanging="321"/>
      </w:pPr>
      <w:r>
        <w:t>Została złożona po upływie terminu składania ofert,</w:t>
      </w:r>
      <w:bookmarkStart w:id="1" w:name="page6"/>
      <w:bookmarkEnd w:id="1"/>
    </w:p>
    <w:p w14:paraId="7377FF98" w14:textId="77777777" w:rsidR="00EA0492" w:rsidRDefault="00EA0492" w:rsidP="00245DE0">
      <w:pPr>
        <w:pStyle w:val="Akapitzlist"/>
        <w:numPr>
          <w:ilvl w:val="2"/>
          <w:numId w:val="23"/>
        </w:numPr>
        <w:tabs>
          <w:tab w:val="left" w:pos="1420"/>
        </w:tabs>
        <w:spacing w:after="0" w:line="0" w:lineRule="atLeast"/>
        <w:ind w:left="1701" w:hanging="321"/>
      </w:pPr>
      <w:r>
        <w:t>Treść oferty nie odpowiada/jest różna od niniejszego zamówienia,</w:t>
      </w:r>
    </w:p>
    <w:p w14:paraId="7377FF99" w14:textId="77777777" w:rsidR="00EA0492" w:rsidRDefault="00EA0492" w:rsidP="00245DE0">
      <w:pPr>
        <w:pStyle w:val="Akapitzlist"/>
        <w:numPr>
          <w:ilvl w:val="2"/>
          <w:numId w:val="23"/>
        </w:numPr>
        <w:tabs>
          <w:tab w:val="left" w:pos="1420"/>
        </w:tabs>
        <w:spacing w:after="0" w:line="0" w:lineRule="atLeast"/>
        <w:ind w:left="1701" w:hanging="321"/>
      </w:pPr>
      <w:r>
        <w:t>Jest sprzeczna z przepisami prawa,</w:t>
      </w:r>
    </w:p>
    <w:p w14:paraId="7377FF9A" w14:textId="77777777" w:rsidR="00245DE0" w:rsidRDefault="00EA0492" w:rsidP="00245DE0">
      <w:pPr>
        <w:pStyle w:val="Akapitzlist"/>
        <w:numPr>
          <w:ilvl w:val="2"/>
          <w:numId w:val="23"/>
        </w:numPr>
        <w:tabs>
          <w:tab w:val="left" w:pos="1400"/>
        </w:tabs>
        <w:spacing w:line="218" w:lineRule="auto"/>
        <w:ind w:left="1701" w:right="20" w:hanging="321"/>
      </w:pPr>
      <w:r>
        <w:t>Złożenie oferty stanowi czyn nieuczciwej konkurencji w rozumieniu przepisów o zwalczaniu nieuczciwej konkurencji,</w:t>
      </w:r>
    </w:p>
    <w:p w14:paraId="7377FF9B" w14:textId="77777777" w:rsidR="00245DE0" w:rsidRDefault="00EA0492" w:rsidP="00245DE0">
      <w:pPr>
        <w:pStyle w:val="Akapitzlist"/>
        <w:numPr>
          <w:ilvl w:val="2"/>
          <w:numId w:val="23"/>
        </w:numPr>
        <w:tabs>
          <w:tab w:val="left" w:pos="1400"/>
        </w:tabs>
        <w:spacing w:line="218" w:lineRule="auto"/>
        <w:ind w:left="1701" w:right="20" w:hanging="321"/>
      </w:pPr>
      <w:r>
        <w:t>Zawiera rażąco niską cenę,</w:t>
      </w:r>
    </w:p>
    <w:p w14:paraId="7377FF9C" w14:textId="77777777" w:rsidR="00EA0492" w:rsidRDefault="00245DE0" w:rsidP="00245DE0">
      <w:pPr>
        <w:pStyle w:val="Akapitzlist"/>
        <w:numPr>
          <w:ilvl w:val="2"/>
          <w:numId w:val="23"/>
        </w:numPr>
        <w:tabs>
          <w:tab w:val="left" w:pos="1400"/>
        </w:tabs>
        <w:spacing w:line="218" w:lineRule="auto"/>
        <w:ind w:left="1701" w:right="20" w:hanging="321"/>
      </w:pPr>
      <w:r>
        <w:t>Z</w:t>
      </w:r>
      <w:r w:rsidR="00EA0492">
        <w:t>ostała złożona więcej niż 1 oferta.</w:t>
      </w:r>
    </w:p>
    <w:p w14:paraId="7377FF9D" w14:textId="77777777" w:rsidR="00EA0492" w:rsidRDefault="00EA0492" w:rsidP="00EA0492">
      <w:pPr>
        <w:numPr>
          <w:ilvl w:val="0"/>
          <w:numId w:val="20"/>
        </w:numPr>
        <w:tabs>
          <w:tab w:val="left" w:pos="400"/>
        </w:tabs>
        <w:spacing w:after="0" w:line="218" w:lineRule="auto"/>
        <w:ind w:left="400" w:hanging="356"/>
      </w:pPr>
      <w:r>
        <w:t>Z tytułu odrzucenia oferty oraz wyników postępowania wyboru najkorzystniejszej oferty Wykonawcy nie przysługują żadne roszczenia wobec Zamawiającego.</w:t>
      </w:r>
    </w:p>
    <w:p w14:paraId="7377FF9E" w14:textId="77777777" w:rsidR="00EA0492" w:rsidRDefault="00EA0492" w:rsidP="00EA0492">
      <w:pPr>
        <w:numPr>
          <w:ilvl w:val="0"/>
          <w:numId w:val="20"/>
        </w:numPr>
        <w:tabs>
          <w:tab w:val="left" w:pos="400"/>
        </w:tabs>
        <w:spacing w:after="0" w:line="217" w:lineRule="auto"/>
        <w:ind w:left="400" w:right="20" w:hanging="356"/>
      </w:pPr>
      <w:r>
        <w:t>Wykonawca jest związany ofertą przez okres 60 dni od dnia, w którym upływa termin składania ofert.</w:t>
      </w:r>
    </w:p>
    <w:p w14:paraId="7377FF9F" w14:textId="77777777" w:rsidR="00EA0492" w:rsidRDefault="00EA0492" w:rsidP="00EA0492">
      <w:pPr>
        <w:numPr>
          <w:ilvl w:val="0"/>
          <w:numId w:val="20"/>
        </w:numPr>
        <w:tabs>
          <w:tab w:val="left" w:pos="400"/>
        </w:tabs>
        <w:spacing w:after="0" w:line="0" w:lineRule="atLeast"/>
        <w:ind w:left="400" w:hanging="356"/>
      </w:pPr>
      <w:r>
        <w:t>Oferta wraz z załącznikami złożona przez Wykonawcę nie podlega zwrotowi.</w:t>
      </w:r>
    </w:p>
    <w:p w14:paraId="7377FFA0" w14:textId="77777777" w:rsidR="00EA0492" w:rsidRDefault="00EA0492" w:rsidP="00EA0492">
      <w:pPr>
        <w:spacing w:line="49" w:lineRule="exact"/>
      </w:pPr>
    </w:p>
    <w:p w14:paraId="7377FFA1" w14:textId="77777777" w:rsidR="00EA0492" w:rsidRDefault="00EA0492" w:rsidP="00EA0492">
      <w:pPr>
        <w:numPr>
          <w:ilvl w:val="0"/>
          <w:numId w:val="20"/>
        </w:numPr>
        <w:tabs>
          <w:tab w:val="left" w:pos="400"/>
        </w:tabs>
        <w:spacing w:after="0" w:line="218" w:lineRule="auto"/>
        <w:ind w:left="400" w:right="20" w:hanging="356"/>
      </w:pPr>
      <w:r>
        <w:t>Wykonawca przed upływem terminu składnia ofert może wycofać ofertę bądź dokonać w niej zmian.</w:t>
      </w:r>
    </w:p>
    <w:p w14:paraId="7377FFA2" w14:textId="77777777" w:rsidR="00EA0492" w:rsidRDefault="00EA0492" w:rsidP="00245DE0">
      <w:pPr>
        <w:numPr>
          <w:ilvl w:val="0"/>
          <w:numId w:val="20"/>
        </w:numPr>
        <w:tabs>
          <w:tab w:val="left" w:pos="400"/>
        </w:tabs>
        <w:spacing w:after="0" w:line="232" w:lineRule="auto"/>
        <w:ind w:left="400" w:hanging="356"/>
        <w:jc w:val="both"/>
      </w:pPr>
      <w:r>
        <w:t>Zamawiający może w toku badania i oceny ofert żądać od Wykonawców wyjaśnień dotyczących treści złożonych ofert bądź uzupełnień braków formalnych wyznaczając Wykonawcy odpowiedni termin. W przypadku nieuzupełnienia oferty lub niezłożenia pełnych wyjaśnień, Zamawiający uprawniony będzie do odrzucenia oferty. W ramach składanych wyjaśnień lub uzupełnienia braków formalnych niedopuszczalne jest prowadzenie między Zamawiającym a Wykonawcą negocjacji dotyczących złożonej oferty lub dokonywanie zmiany w jej treści, z zastrzeżeniem pkt.</w:t>
      </w:r>
      <w:r w:rsidR="00245DE0">
        <w:t xml:space="preserve"> </w:t>
      </w:r>
      <w:r w:rsidR="005618C9">
        <w:t>12</w:t>
      </w:r>
      <w:r>
        <w:t>.</w:t>
      </w:r>
    </w:p>
    <w:p w14:paraId="7377FFA3" w14:textId="77777777" w:rsidR="00EA0492" w:rsidRDefault="00EA0492" w:rsidP="00EA0492">
      <w:pPr>
        <w:numPr>
          <w:ilvl w:val="0"/>
          <w:numId w:val="20"/>
        </w:numPr>
        <w:tabs>
          <w:tab w:val="left" w:pos="400"/>
        </w:tabs>
        <w:spacing w:after="0" w:line="229" w:lineRule="auto"/>
        <w:ind w:left="400" w:hanging="356"/>
        <w:jc w:val="both"/>
      </w:pPr>
      <w:r>
        <w:t>Zamawiający jest uprawniony do poprawienia w treści oferty oczywistych omyłek pisarskich lub rachunkowych, niezwłocznie zawiadamiając o tym Wykonawcę. W terminie 3 dni od zawiadomienia, Wykonawca może nie zgodzić się na dokonanie poprawek. Oferta jego w takim przypadku podlega odrzuceniu.</w:t>
      </w:r>
    </w:p>
    <w:p w14:paraId="7377FFA4" w14:textId="77777777" w:rsidR="00EA0492" w:rsidRDefault="00EA0492" w:rsidP="00245DE0">
      <w:pPr>
        <w:numPr>
          <w:ilvl w:val="0"/>
          <w:numId w:val="20"/>
        </w:numPr>
        <w:tabs>
          <w:tab w:val="left" w:pos="400"/>
        </w:tabs>
        <w:spacing w:after="0" w:line="218" w:lineRule="auto"/>
        <w:ind w:left="400" w:right="20" w:hanging="356"/>
        <w:jc w:val="both"/>
      </w:pPr>
      <w:r>
        <w:t>Wykonawca może złożyć tylko jedną ofertę. Oferta może dotyczyć całości zamówienia bądź poszczególnych jego części zgodnie z charakterystyką przedmiotu zamówienia.</w:t>
      </w:r>
    </w:p>
    <w:p w14:paraId="7377FFA5" w14:textId="77777777" w:rsidR="00EA0492" w:rsidRDefault="00EA0492" w:rsidP="00EA0492">
      <w:pPr>
        <w:numPr>
          <w:ilvl w:val="0"/>
          <w:numId w:val="20"/>
        </w:numPr>
        <w:tabs>
          <w:tab w:val="left" w:pos="450"/>
        </w:tabs>
        <w:spacing w:after="0" w:line="224" w:lineRule="auto"/>
        <w:ind w:left="400" w:hanging="356"/>
        <w:jc w:val="both"/>
      </w:pPr>
      <w:r>
        <w:t>Zamawiający zastrzega sobie prawo do podjęcia negocjacji z Wykonawcą, który złożył najkorzystniejszą ofertę w przypadku, gdy proponowana cena w ofercie Wykonawcy przekracza wysokość środków zaplanowanych w budżecie projektu na wykonanie usługi.</w:t>
      </w:r>
    </w:p>
    <w:p w14:paraId="7377FFA6" w14:textId="77777777" w:rsidR="00EA0492" w:rsidRDefault="00EA0492" w:rsidP="00EA0492">
      <w:pPr>
        <w:numPr>
          <w:ilvl w:val="0"/>
          <w:numId w:val="20"/>
        </w:numPr>
        <w:tabs>
          <w:tab w:val="left" w:pos="400"/>
        </w:tabs>
        <w:spacing w:after="0" w:line="225" w:lineRule="auto"/>
        <w:ind w:left="400" w:right="20" w:hanging="356"/>
        <w:jc w:val="both"/>
      </w:pPr>
      <w:r>
        <w:t>Złożona oferta przez Wykonawcę musi zawierać cenę brutto tzn. musi uwzględniać wszystkie koszty i składniki niezbędne do prawidłowego wykonania zamówienia wynikające zarówno ze specyfiki zamówienia jak również obowiązującego prawa.</w:t>
      </w:r>
    </w:p>
    <w:p w14:paraId="7377FFA7" w14:textId="77777777" w:rsidR="00EA0492" w:rsidRDefault="00EA0492" w:rsidP="00EA0492">
      <w:pPr>
        <w:numPr>
          <w:ilvl w:val="0"/>
          <w:numId w:val="20"/>
        </w:numPr>
        <w:tabs>
          <w:tab w:val="left" w:pos="400"/>
        </w:tabs>
        <w:spacing w:after="0" w:line="218" w:lineRule="auto"/>
        <w:ind w:left="400" w:right="20" w:hanging="356"/>
      </w:pPr>
      <w:r>
        <w:t>Odstępstwa od wyżej wymienionego trybu postępowania składania ofert będą skutkowały odrzuceniem oferty z przyczyn formalnych.</w:t>
      </w:r>
    </w:p>
    <w:p w14:paraId="7377FFA8" w14:textId="77777777" w:rsidR="00EA0492" w:rsidRDefault="00EA0492" w:rsidP="00EA0492">
      <w:pPr>
        <w:numPr>
          <w:ilvl w:val="0"/>
          <w:numId w:val="20"/>
        </w:numPr>
        <w:tabs>
          <w:tab w:val="left" w:pos="400"/>
        </w:tabs>
        <w:spacing w:after="0" w:line="229" w:lineRule="auto"/>
        <w:ind w:left="400" w:hanging="356"/>
        <w:jc w:val="both"/>
      </w:pPr>
      <w:r>
        <w:t>Zamawiający zastrzega prawo do wprowadzania modyfikacji, uzupełnienia/uszczegółowienia treści zapytania ofertowego nie później niż do upływu terminu składania ofert podanym w ogłoszeniu. W przypadku takiej sytuacji Wykonawcy, którzy złożyli już ofertę zostaną poinformowani o dokonanych zmianach w treści zapytania oraz nowym terminie złożenia ofert.</w:t>
      </w:r>
    </w:p>
    <w:p w14:paraId="7377FFA9" w14:textId="77777777" w:rsidR="004008C1" w:rsidRDefault="004008C1" w:rsidP="004008C1">
      <w:pPr>
        <w:pStyle w:val="Styl1"/>
        <w:numPr>
          <w:ilvl w:val="0"/>
          <w:numId w:val="3"/>
        </w:numPr>
        <w:rPr>
          <w:b/>
        </w:rPr>
      </w:pPr>
      <w:r w:rsidRPr="004008C1">
        <w:rPr>
          <w:b/>
        </w:rPr>
        <w:lastRenderedPageBreak/>
        <w:t>Termin i miejsce składania oferty</w:t>
      </w:r>
    </w:p>
    <w:p w14:paraId="7377FFAA" w14:textId="5759423A" w:rsidR="004008C1" w:rsidRDefault="004008C1" w:rsidP="004008C1">
      <w:pPr>
        <w:numPr>
          <w:ilvl w:val="0"/>
          <w:numId w:val="24"/>
        </w:numPr>
        <w:tabs>
          <w:tab w:val="left" w:pos="400"/>
        </w:tabs>
        <w:spacing w:after="0" w:line="0" w:lineRule="atLeast"/>
        <w:ind w:left="400" w:hanging="356"/>
      </w:pPr>
      <w:r>
        <w:t xml:space="preserve">Termin składania ofert upływa w nieprzekraczalnym terminie: </w:t>
      </w:r>
      <w:r w:rsidR="006807D4">
        <w:t>2</w:t>
      </w:r>
      <w:r w:rsidR="00CE414F">
        <w:t>9-01-2021</w:t>
      </w:r>
      <w:r w:rsidR="006807D4">
        <w:t xml:space="preserve"> </w:t>
      </w:r>
      <w:r>
        <w:t>do godziny 12.00.</w:t>
      </w:r>
    </w:p>
    <w:p w14:paraId="7377FFAB" w14:textId="77777777" w:rsidR="004008C1" w:rsidRDefault="004008C1" w:rsidP="004008C1">
      <w:pPr>
        <w:numPr>
          <w:ilvl w:val="0"/>
          <w:numId w:val="24"/>
        </w:numPr>
        <w:tabs>
          <w:tab w:val="left" w:pos="400"/>
        </w:tabs>
        <w:spacing w:after="0" w:line="0" w:lineRule="atLeast"/>
        <w:ind w:left="400" w:hanging="356"/>
      </w:pPr>
      <w:r>
        <w:t>Oferty złożone po terminie nie będą rozpatrywane.</w:t>
      </w:r>
    </w:p>
    <w:p w14:paraId="7377FFAC" w14:textId="656C549B" w:rsidR="004008C1" w:rsidRDefault="004008C1" w:rsidP="004008C1">
      <w:pPr>
        <w:numPr>
          <w:ilvl w:val="0"/>
          <w:numId w:val="24"/>
        </w:numPr>
        <w:tabs>
          <w:tab w:val="left" w:pos="400"/>
        </w:tabs>
        <w:spacing w:after="0" w:line="0" w:lineRule="atLeast"/>
        <w:ind w:left="400" w:hanging="356"/>
      </w:pPr>
      <w:r>
        <w:t>Miejsce składania ofert</w:t>
      </w:r>
      <w:r w:rsidR="00CE414F">
        <w:t xml:space="preserve"> w formie elektronicznej na adres: </w:t>
      </w:r>
      <w:hyperlink r:id="rId7" w:history="1">
        <w:r w:rsidR="00CE414F" w:rsidRPr="00CE414F">
          <w:rPr>
            <w:rStyle w:val="Hipercze"/>
          </w:rPr>
          <w:t>biuro@thetakielce.pl</w:t>
        </w:r>
      </w:hyperlink>
    </w:p>
    <w:p w14:paraId="7377FFAD" w14:textId="77777777" w:rsidR="004008C1" w:rsidRDefault="004008C1" w:rsidP="004008C1">
      <w:pPr>
        <w:spacing w:line="49" w:lineRule="exact"/>
        <w:rPr>
          <w:rFonts w:ascii="Times New Roman" w:eastAsia="Times New Roman" w:hAnsi="Times New Roman"/>
        </w:rPr>
      </w:pPr>
    </w:p>
    <w:p w14:paraId="7377FFAE" w14:textId="77777777" w:rsidR="004008C1" w:rsidRDefault="004008C1" w:rsidP="004008C1">
      <w:pPr>
        <w:spacing w:line="218" w:lineRule="auto"/>
        <w:ind w:left="700" w:right="940"/>
      </w:pPr>
      <w:r>
        <w:t xml:space="preserve">Ośrodek Kształcenia i Promowa Kadr THETA, ul. Leszczyńska 45, 25-321 Kielce </w:t>
      </w:r>
    </w:p>
    <w:p w14:paraId="7377FFBA" w14:textId="4132F930" w:rsidR="004008C1" w:rsidRDefault="004008C1" w:rsidP="004008C1">
      <w:pPr>
        <w:numPr>
          <w:ilvl w:val="0"/>
          <w:numId w:val="27"/>
        </w:numPr>
        <w:tabs>
          <w:tab w:val="left" w:pos="1440"/>
        </w:tabs>
        <w:spacing w:after="0" w:line="225" w:lineRule="auto"/>
        <w:ind w:left="1440" w:hanging="364"/>
        <w:jc w:val="both"/>
      </w:pPr>
      <w:r>
        <w:t xml:space="preserve">Na adres e-mail: </w:t>
      </w:r>
      <w:hyperlink r:id="rId8" w:history="1">
        <w:r w:rsidR="00CE414F" w:rsidRPr="00CE414F">
          <w:rPr>
            <w:rStyle w:val="Hipercze"/>
          </w:rPr>
          <w:t>biuro@thetakielce.pl</w:t>
        </w:r>
      </w:hyperlink>
      <w:r>
        <w:t xml:space="preserve"> – za fakt złożenia oferty liczy się data przesłania oferty drogą elektroniczną jednak nie później niż do momentu zakończenia terminu składania ofert.</w:t>
      </w:r>
    </w:p>
    <w:p w14:paraId="7377FFBB" w14:textId="77777777" w:rsidR="004008C1" w:rsidRPr="004008C1" w:rsidRDefault="004008C1" w:rsidP="004008C1">
      <w:pPr>
        <w:pStyle w:val="Akapitzlist"/>
        <w:numPr>
          <w:ilvl w:val="0"/>
          <w:numId w:val="24"/>
        </w:numPr>
        <w:ind w:left="426" w:hanging="284"/>
        <w:jc w:val="both"/>
      </w:pPr>
      <w:r w:rsidRPr="004008C1">
        <w:t>Zamawiający powiadomi o wynikach postępowania wszystkich Wykonawców. Wybranemu Wykonawcy zamawiający wskaże termin i miejsce podpisania umowy.</w:t>
      </w:r>
    </w:p>
    <w:p w14:paraId="7377FFBC" w14:textId="77777777" w:rsidR="00C60A5E" w:rsidRDefault="00C60A5E" w:rsidP="00BA6E9B">
      <w:pPr>
        <w:pStyle w:val="Styl1"/>
        <w:numPr>
          <w:ilvl w:val="0"/>
          <w:numId w:val="3"/>
        </w:numPr>
        <w:jc w:val="both"/>
        <w:rPr>
          <w:b/>
        </w:rPr>
      </w:pPr>
      <w:r w:rsidRPr="00C60A5E">
        <w:rPr>
          <w:b/>
        </w:rPr>
        <w:t>Opis sposobu obliczenia ceny oraz opis kryteriów, którymi zamawiający będzie się kierował przy wyborze oferty wraz z podaniem znaczenia tych kryteriów i sposobu oceny ofert</w:t>
      </w:r>
    </w:p>
    <w:p w14:paraId="7377FFBD" w14:textId="77777777" w:rsidR="00BA6E9B" w:rsidRPr="00BA6E9B" w:rsidRDefault="00BA6E9B" w:rsidP="00BA6E9B">
      <w:pPr>
        <w:pStyle w:val="Akapitzlist"/>
        <w:numPr>
          <w:ilvl w:val="0"/>
          <w:numId w:val="32"/>
        </w:numPr>
        <w:tabs>
          <w:tab w:val="left" w:pos="1276"/>
        </w:tabs>
        <w:spacing w:after="0" w:line="218" w:lineRule="auto"/>
        <w:ind w:left="426"/>
        <w:jc w:val="both"/>
        <w:rPr>
          <w:b/>
        </w:rPr>
      </w:pPr>
      <w:r>
        <w:t>Przy wyborze najkorzystniejszej oferty Zamawiający będzie kierować się następującymi kryteriami i ich znaczeniem oraz w następujący sposób będzie oceniać oferty w poszczególnych kryteriach:</w:t>
      </w:r>
    </w:p>
    <w:p w14:paraId="7377FFBE" w14:textId="77777777" w:rsidR="00BA6E9B" w:rsidRPr="00BA6E9B" w:rsidRDefault="00BA6E9B" w:rsidP="00BA6E9B">
      <w:pPr>
        <w:pStyle w:val="Akapitzlist"/>
        <w:tabs>
          <w:tab w:val="left" w:pos="1000"/>
        </w:tabs>
        <w:spacing w:after="0" w:line="218" w:lineRule="auto"/>
        <w:ind w:left="1000"/>
        <w:jc w:val="both"/>
        <w:rPr>
          <w:b/>
        </w:rPr>
      </w:pPr>
    </w:p>
    <w:tbl>
      <w:tblPr>
        <w:tblStyle w:val="Tabela-Siatka"/>
        <w:tblW w:w="8758" w:type="dxa"/>
        <w:tblLook w:val="04A0" w:firstRow="1" w:lastRow="0" w:firstColumn="1" w:lastColumn="0" w:noHBand="0" w:noVBand="1"/>
      </w:tblPr>
      <w:tblGrid>
        <w:gridCol w:w="596"/>
        <w:gridCol w:w="6345"/>
        <w:gridCol w:w="1817"/>
      </w:tblGrid>
      <w:tr w:rsidR="00BA6E9B" w14:paraId="7377FFC2" w14:textId="77777777" w:rsidTr="00BA6E9B">
        <w:trPr>
          <w:trHeight w:val="959"/>
        </w:trPr>
        <w:tc>
          <w:tcPr>
            <w:tcW w:w="596" w:type="dxa"/>
            <w:shd w:val="clear" w:color="auto" w:fill="BFBFBF" w:themeFill="background1" w:themeFillShade="BF"/>
          </w:tcPr>
          <w:p w14:paraId="7377FFBF" w14:textId="77777777" w:rsidR="00BA6E9B" w:rsidRDefault="00BA6E9B" w:rsidP="00BA6E9B">
            <w:pPr>
              <w:pStyle w:val="Akapitzlist"/>
              <w:tabs>
                <w:tab w:val="left" w:pos="1276"/>
              </w:tabs>
              <w:spacing w:line="218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345" w:type="dxa"/>
            <w:shd w:val="clear" w:color="auto" w:fill="BFBFBF" w:themeFill="background1" w:themeFillShade="BF"/>
          </w:tcPr>
          <w:p w14:paraId="7377FFC0" w14:textId="77777777" w:rsidR="00BA6E9B" w:rsidRDefault="00BA6E9B" w:rsidP="00BA6E9B">
            <w:pPr>
              <w:pStyle w:val="Akapitzlist"/>
              <w:tabs>
                <w:tab w:val="left" w:pos="1276"/>
              </w:tabs>
              <w:spacing w:line="218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1817" w:type="dxa"/>
            <w:shd w:val="clear" w:color="auto" w:fill="BFBFBF" w:themeFill="background1" w:themeFillShade="BF"/>
          </w:tcPr>
          <w:p w14:paraId="7377FFC1" w14:textId="77777777" w:rsidR="00BA6E9B" w:rsidRDefault="00BA6E9B" w:rsidP="00BA6E9B">
            <w:pPr>
              <w:pStyle w:val="Akapitzlist"/>
              <w:tabs>
                <w:tab w:val="left" w:pos="1276"/>
              </w:tabs>
              <w:spacing w:line="218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Maksymalna liczba punktów(waga)</w:t>
            </w:r>
          </w:p>
        </w:tc>
      </w:tr>
      <w:tr w:rsidR="00BA6E9B" w14:paraId="7377FFC6" w14:textId="77777777" w:rsidTr="00BA6E9B">
        <w:trPr>
          <w:trHeight w:val="479"/>
        </w:trPr>
        <w:tc>
          <w:tcPr>
            <w:tcW w:w="596" w:type="dxa"/>
          </w:tcPr>
          <w:p w14:paraId="7377FFC3" w14:textId="77777777" w:rsidR="00BA6E9B" w:rsidRDefault="00BA6E9B" w:rsidP="00BA6E9B">
            <w:pPr>
              <w:pStyle w:val="Akapitzlist"/>
              <w:tabs>
                <w:tab w:val="left" w:pos="1276"/>
              </w:tabs>
              <w:spacing w:line="218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345" w:type="dxa"/>
          </w:tcPr>
          <w:p w14:paraId="7377FFC4" w14:textId="77777777" w:rsidR="00BA6E9B" w:rsidRDefault="00BA6E9B" w:rsidP="00BA6E9B">
            <w:pPr>
              <w:pStyle w:val="Akapitzlist"/>
              <w:tabs>
                <w:tab w:val="left" w:pos="1276"/>
              </w:tabs>
              <w:spacing w:line="218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K1 - Cena</w:t>
            </w:r>
          </w:p>
        </w:tc>
        <w:tc>
          <w:tcPr>
            <w:tcW w:w="1817" w:type="dxa"/>
          </w:tcPr>
          <w:p w14:paraId="7377FFC5" w14:textId="77777777" w:rsidR="00BA6E9B" w:rsidRDefault="00BA6E9B" w:rsidP="00BA6E9B">
            <w:pPr>
              <w:pStyle w:val="Akapitzlist"/>
              <w:tabs>
                <w:tab w:val="left" w:pos="1276"/>
              </w:tabs>
              <w:spacing w:line="218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BA6E9B" w14:paraId="7377FFCA" w14:textId="77777777" w:rsidTr="00BA6E9B">
        <w:trPr>
          <w:trHeight w:val="479"/>
        </w:trPr>
        <w:tc>
          <w:tcPr>
            <w:tcW w:w="596" w:type="dxa"/>
          </w:tcPr>
          <w:p w14:paraId="7377FFC7" w14:textId="77777777" w:rsidR="00BA6E9B" w:rsidRDefault="00BA6E9B" w:rsidP="00BA6E9B">
            <w:pPr>
              <w:pStyle w:val="Akapitzlist"/>
              <w:tabs>
                <w:tab w:val="left" w:pos="1276"/>
              </w:tabs>
              <w:spacing w:line="218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345" w:type="dxa"/>
          </w:tcPr>
          <w:p w14:paraId="7377FFC8" w14:textId="77777777" w:rsidR="00BA6E9B" w:rsidRDefault="00BA6E9B" w:rsidP="00BA6E9B">
            <w:pPr>
              <w:pStyle w:val="Akapitzlist"/>
              <w:tabs>
                <w:tab w:val="left" w:pos="1276"/>
              </w:tabs>
              <w:spacing w:line="218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K2 - Termin dostawy licencji na oprogramowanie</w:t>
            </w:r>
          </w:p>
        </w:tc>
        <w:tc>
          <w:tcPr>
            <w:tcW w:w="1817" w:type="dxa"/>
          </w:tcPr>
          <w:p w14:paraId="7377FFC9" w14:textId="77777777" w:rsidR="00BA6E9B" w:rsidRDefault="00BA6E9B" w:rsidP="00BA6E9B">
            <w:pPr>
              <w:pStyle w:val="Akapitzlist"/>
              <w:tabs>
                <w:tab w:val="left" w:pos="1276"/>
              </w:tabs>
              <w:spacing w:line="218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14:paraId="7377FFCB" w14:textId="77777777" w:rsidR="00BA6E9B" w:rsidRPr="00BA6E9B" w:rsidRDefault="00BA6E9B" w:rsidP="00BA6E9B">
      <w:pPr>
        <w:pStyle w:val="Akapitzlist"/>
        <w:tabs>
          <w:tab w:val="left" w:pos="1276"/>
        </w:tabs>
        <w:spacing w:after="0" w:line="218" w:lineRule="auto"/>
        <w:ind w:left="0"/>
        <w:jc w:val="both"/>
        <w:rPr>
          <w:b/>
        </w:rPr>
      </w:pPr>
    </w:p>
    <w:p w14:paraId="7377FFCC" w14:textId="77777777" w:rsidR="00BA6E9B" w:rsidRPr="00BA6E9B" w:rsidRDefault="00BA6E9B" w:rsidP="00BA6E9B">
      <w:pPr>
        <w:pStyle w:val="Akapitzlist"/>
        <w:tabs>
          <w:tab w:val="left" w:pos="1000"/>
        </w:tabs>
        <w:spacing w:after="0" w:line="218" w:lineRule="auto"/>
        <w:ind w:left="1000"/>
        <w:jc w:val="both"/>
        <w:rPr>
          <w:b/>
        </w:rPr>
      </w:pPr>
    </w:p>
    <w:p w14:paraId="7377FFCD" w14:textId="77777777" w:rsidR="00BA6E9B" w:rsidRPr="00BA6E9B" w:rsidRDefault="00BA6E9B" w:rsidP="00BA6E9B">
      <w:pPr>
        <w:pStyle w:val="Akapitzlist"/>
        <w:numPr>
          <w:ilvl w:val="0"/>
          <w:numId w:val="32"/>
        </w:numPr>
        <w:spacing w:after="0" w:line="218" w:lineRule="auto"/>
        <w:ind w:left="426"/>
        <w:jc w:val="both"/>
        <w:rPr>
          <w:b/>
        </w:rPr>
      </w:pPr>
      <w:r w:rsidRPr="00BA6E9B">
        <w:rPr>
          <w:b/>
        </w:rPr>
        <w:t>K1</w:t>
      </w:r>
      <w:r>
        <w:t xml:space="preserve"> – Cena. Kryterium to stanowi 80% całości kryteriów (maksymalnie za spełnienie</w:t>
      </w:r>
      <w:r w:rsidR="00AF3CFC">
        <w:t xml:space="preserve"> tego kryterium można uzyskać 80</w:t>
      </w:r>
      <w:r>
        <w:t>,00 punktów)</w:t>
      </w:r>
      <w:r w:rsidR="00AF3CFC">
        <w:t>. Najwyższą liczbę punktów otrzyma oferta zawierająca najniższą cenę, a każda następna według poniższego wzoru:</w:t>
      </w:r>
    </w:p>
    <w:p w14:paraId="7377FFCE" w14:textId="77777777" w:rsidR="00BA6E9B" w:rsidRDefault="00BA6E9B" w:rsidP="00BA6E9B">
      <w:pPr>
        <w:spacing w:line="279" w:lineRule="exact"/>
        <w:rPr>
          <w:rFonts w:ascii="Times New Roman" w:eastAsia="Times New Roman" w:hAnsi="Times New Roman"/>
        </w:rPr>
      </w:pPr>
    </w:p>
    <w:p w14:paraId="7377FFCF" w14:textId="77777777" w:rsidR="00BA6E9B" w:rsidRDefault="00AF3CFC" w:rsidP="00BA6E9B">
      <w:pPr>
        <w:spacing w:line="0" w:lineRule="atLeast"/>
        <w:ind w:left="21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Cena najniższej oferty brutto</w:t>
      </w:r>
    </w:p>
    <w:p w14:paraId="7377FFD0" w14:textId="77777777" w:rsidR="00BA6E9B" w:rsidRDefault="00BA6E9B" w:rsidP="00BA6E9B">
      <w:pPr>
        <w:spacing w:line="60" w:lineRule="exact"/>
        <w:rPr>
          <w:rFonts w:ascii="Times New Roman" w:eastAsia="Times New Roman" w:hAnsi="Times New Roman"/>
        </w:rPr>
      </w:pPr>
    </w:p>
    <w:p w14:paraId="7377FFD1" w14:textId="77777777" w:rsidR="00BA6E9B" w:rsidRDefault="00BA6E9B" w:rsidP="00BA6E9B">
      <w:pPr>
        <w:spacing w:line="0" w:lineRule="atLeast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Liczba punktów = ----------------------------------</w:t>
      </w:r>
      <w:r w:rsidR="00AF3CFC">
        <w:rPr>
          <w:rFonts w:ascii="Verdana" w:eastAsia="Verdana" w:hAnsi="Verdana"/>
          <w:sz w:val="16"/>
        </w:rPr>
        <w:t>--------------------------- x 80</w:t>
      </w:r>
    </w:p>
    <w:p w14:paraId="7377FFD2" w14:textId="77777777" w:rsidR="00BA6E9B" w:rsidRDefault="00BA6E9B" w:rsidP="00BA6E9B">
      <w:pPr>
        <w:spacing w:line="60" w:lineRule="exact"/>
        <w:rPr>
          <w:rFonts w:ascii="Times New Roman" w:eastAsia="Times New Roman" w:hAnsi="Times New Roman"/>
        </w:rPr>
      </w:pPr>
    </w:p>
    <w:p w14:paraId="7377FFD3" w14:textId="77777777" w:rsidR="00BA6E9B" w:rsidRDefault="00BA6E9B" w:rsidP="00BA6E9B">
      <w:pPr>
        <w:spacing w:line="0" w:lineRule="atLeast"/>
        <w:ind w:left="21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Cena badanej oferty brutto</w:t>
      </w:r>
    </w:p>
    <w:p w14:paraId="7377FFD4" w14:textId="77777777" w:rsidR="00AF3CFC" w:rsidRDefault="00AF3CFC" w:rsidP="00BA6E9B">
      <w:pPr>
        <w:spacing w:line="0" w:lineRule="atLeast"/>
        <w:ind w:left="2120"/>
        <w:rPr>
          <w:rFonts w:ascii="Verdana" w:eastAsia="Verdana" w:hAnsi="Verdana"/>
          <w:sz w:val="16"/>
        </w:rPr>
      </w:pPr>
    </w:p>
    <w:p w14:paraId="7377FFD5" w14:textId="77777777" w:rsidR="00AF3CFC" w:rsidRDefault="00AF3CFC" w:rsidP="00AF3CFC">
      <w:pPr>
        <w:pStyle w:val="Akapitzlist"/>
        <w:numPr>
          <w:ilvl w:val="0"/>
          <w:numId w:val="32"/>
        </w:numPr>
        <w:tabs>
          <w:tab w:val="left" w:pos="980"/>
        </w:tabs>
        <w:spacing w:line="225" w:lineRule="auto"/>
        <w:ind w:left="426"/>
        <w:jc w:val="both"/>
      </w:pPr>
      <w:r w:rsidRPr="00AF3CFC">
        <w:rPr>
          <w:b/>
        </w:rPr>
        <w:t>K2</w:t>
      </w:r>
      <w:r>
        <w:t xml:space="preserve"> – </w:t>
      </w:r>
      <w:r w:rsidRPr="00AF3CFC">
        <w:t>Termin dostawy licencji na oprogramowanie</w:t>
      </w:r>
      <w:r>
        <w:t>. Kryterium to stanowi 20% całości kryteriów za spełnienie tego kryterium można uzyskać 20,00 punktów).</w:t>
      </w:r>
      <w:r w:rsidRPr="00AF3CFC">
        <w:t xml:space="preserve"> </w:t>
      </w:r>
      <w:r>
        <w:t xml:space="preserve"> Najwyższą liczbę punktów może uzyskać Oferta Wykonawcy, który zaproponuje najmniejszą liczbę dni kalendarzowych na dostarczenie sprzętu komputerowego objętego przedmiotem zamówienia tj.: </w:t>
      </w:r>
    </w:p>
    <w:p w14:paraId="434BAED9" w14:textId="77777777" w:rsidR="005267C3" w:rsidRDefault="00AF3CFC" w:rsidP="005267C3">
      <w:pPr>
        <w:pStyle w:val="Akapitzlist"/>
        <w:numPr>
          <w:ilvl w:val="1"/>
          <w:numId w:val="32"/>
        </w:numPr>
        <w:spacing w:line="225" w:lineRule="auto"/>
        <w:jc w:val="both"/>
      </w:pPr>
      <w:r>
        <w:lastRenderedPageBreak/>
        <w:sym w:font="Symbol" w:char="F02D"/>
      </w:r>
      <w:r>
        <w:t xml:space="preserve"> dostawa w terminie do 20 dni kalendarzowych – 10 pkt, </w:t>
      </w:r>
    </w:p>
    <w:p w14:paraId="35A630E3" w14:textId="77777777" w:rsidR="005267C3" w:rsidRDefault="005267C3" w:rsidP="005267C3">
      <w:pPr>
        <w:pStyle w:val="Akapitzlist"/>
        <w:numPr>
          <w:ilvl w:val="1"/>
          <w:numId w:val="32"/>
        </w:numPr>
        <w:spacing w:line="225" w:lineRule="auto"/>
        <w:jc w:val="both"/>
      </w:pPr>
      <w:r>
        <w:t xml:space="preserve">- </w:t>
      </w:r>
      <w:r w:rsidR="00AF3CFC">
        <w:t xml:space="preserve"> dostawa w terminie d</w:t>
      </w:r>
      <w:r w:rsidR="00DA10D3">
        <w:t>o</w:t>
      </w:r>
      <w:r w:rsidR="00AF3CFC">
        <w:t xml:space="preserve"> 10 dni kalendarzowych – 20 pkt.</w:t>
      </w:r>
      <w:r>
        <w:t xml:space="preserve"> </w:t>
      </w:r>
    </w:p>
    <w:p w14:paraId="7377FFD8" w14:textId="63364FF4" w:rsidR="00BA6E9B" w:rsidRPr="005267C3" w:rsidRDefault="00AF3CFC" w:rsidP="005267C3">
      <w:pPr>
        <w:spacing w:line="225" w:lineRule="auto"/>
        <w:jc w:val="both"/>
      </w:pPr>
      <w:r>
        <w:t>Jeżeli Wykonawca zaoferuje 30 dni kalendarzowych lub więcej otrzyma 0 pkt. W przypadku braku wpisania w ofercie terminu dostarczenia sprzętu komputerowego oferta otrzyma 0 pkt, a Zamawiający przyjmuje termin realizacji – 30 dni kalendarzowych.</w:t>
      </w:r>
    </w:p>
    <w:p w14:paraId="7377FFD9" w14:textId="77777777" w:rsidR="00BA6E9B" w:rsidRDefault="00BA6E9B" w:rsidP="00AF3CFC">
      <w:pPr>
        <w:pStyle w:val="Akapitzlist"/>
        <w:numPr>
          <w:ilvl w:val="0"/>
          <w:numId w:val="32"/>
        </w:numPr>
        <w:spacing w:line="218" w:lineRule="auto"/>
        <w:ind w:left="426" w:right="20"/>
        <w:jc w:val="both"/>
      </w:pPr>
      <w:r>
        <w:t>Ostateczna łączna liczba punktów możliwych do zdobycia w ramach zapytania ofertowego będzie obliczana wg następującego wzoru:</w:t>
      </w:r>
    </w:p>
    <w:p w14:paraId="7377FFDA" w14:textId="77777777" w:rsidR="00BA6E9B" w:rsidRDefault="00BA6E9B" w:rsidP="00BA6E9B">
      <w:pPr>
        <w:spacing w:line="61" w:lineRule="exact"/>
        <w:rPr>
          <w:rFonts w:ascii="Times New Roman" w:eastAsia="Times New Roman" w:hAnsi="Times New Roman"/>
        </w:rPr>
      </w:pPr>
    </w:p>
    <w:p w14:paraId="7377FFDB" w14:textId="77777777" w:rsidR="00BA6E9B" w:rsidRPr="00AF3CFC" w:rsidRDefault="00BA6E9B" w:rsidP="00AF3CFC">
      <w:pPr>
        <w:spacing w:line="0" w:lineRule="atLeast"/>
        <w:ind w:left="708"/>
        <w:rPr>
          <w:b/>
          <w:sz w:val="24"/>
        </w:rPr>
      </w:pPr>
      <w:r w:rsidRPr="00AF3CFC">
        <w:rPr>
          <w:b/>
          <w:sz w:val="24"/>
        </w:rPr>
        <w:t>K = K1 + K2</w:t>
      </w:r>
    </w:p>
    <w:p w14:paraId="7377FFDC" w14:textId="77777777" w:rsidR="00BA6E9B" w:rsidRDefault="00BA6E9B" w:rsidP="00BA6E9B">
      <w:pPr>
        <w:spacing w:line="109" w:lineRule="exact"/>
        <w:rPr>
          <w:rFonts w:ascii="Times New Roman" w:eastAsia="Times New Roman" w:hAnsi="Times New Roman"/>
        </w:rPr>
      </w:pPr>
    </w:p>
    <w:p w14:paraId="7377FFDD" w14:textId="77777777" w:rsidR="00BA6E9B" w:rsidRDefault="00BA6E9B" w:rsidP="00AF3CFC">
      <w:pPr>
        <w:spacing w:line="218" w:lineRule="auto"/>
        <w:ind w:left="284" w:right="20"/>
        <w:jc w:val="both"/>
      </w:pPr>
      <w:r>
        <w:t xml:space="preserve">Łączna liczba punktów = Liczba punktów za spełnienie kryterium ceny + Liczba punktów za spełnienie kryterium </w:t>
      </w:r>
      <w:r w:rsidR="00AF3CFC">
        <w:t>terminu dostawy</w:t>
      </w:r>
      <w:r>
        <w:t>.</w:t>
      </w:r>
    </w:p>
    <w:p w14:paraId="7377FFDE" w14:textId="77777777" w:rsidR="00BA6E9B" w:rsidRDefault="00BA6E9B" w:rsidP="00AF3CFC">
      <w:pPr>
        <w:pStyle w:val="Akapitzlist"/>
        <w:numPr>
          <w:ilvl w:val="0"/>
          <w:numId w:val="32"/>
        </w:numPr>
        <w:tabs>
          <w:tab w:val="left" w:pos="420"/>
        </w:tabs>
        <w:spacing w:after="0" w:line="0" w:lineRule="atLeast"/>
        <w:ind w:left="426"/>
      </w:pPr>
      <w:r>
        <w:t>Wykonawca może uzyskać od 1 do 100 punktów w ramach złożonej oferty.</w:t>
      </w:r>
    </w:p>
    <w:p w14:paraId="7377FFDF" w14:textId="77777777" w:rsidR="00AF3CFC" w:rsidRDefault="00BA6E9B" w:rsidP="002A4680">
      <w:pPr>
        <w:numPr>
          <w:ilvl w:val="0"/>
          <w:numId w:val="32"/>
        </w:numPr>
        <w:tabs>
          <w:tab w:val="left" w:pos="420"/>
        </w:tabs>
        <w:spacing w:after="0" w:line="218" w:lineRule="auto"/>
        <w:ind w:left="426" w:right="20"/>
        <w:jc w:val="both"/>
      </w:pPr>
      <w:r>
        <w:t>Wszystkie obliczenia w zakresie wyboru oferty będą dokonywane z dokładnością do dwóch miejsc po przecinku.</w:t>
      </w:r>
    </w:p>
    <w:p w14:paraId="7377FFE0" w14:textId="77777777" w:rsidR="005328F7" w:rsidRDefault="00AF3CFC" w:rsidP="005328F7">
      <w:pPr>
        <w:numPr>
          <w:ilvl w:val="0"/>
          <w:numId w:val="32"/>
        </w:numPr>
        <w:tabs>
          <w:tab w:val="left" w:pos="420"/>
        </w:tabs>
        <w:spacing w:after="0" w:line="218" w:lineRule="auto"/>
        <w:ind w:left="426" w:right="20"/>
        <w:jc w:val="both"/>
      </w:pPr>
      <w:r>
        <w:t>Zamawiający udzieli zamówienia Wykonawcy, którego oferta uzyskała najwyższą liczbę punktów w danej części zamówienia.</w:t>
      </w:r>
    </w:p>
    <w:p w14:paraId="7377FFE1" w14:textId="77777777" w:rsidR="005328F7" w:rsidRDefault="005328F7" w:rsidP="005328F7">
      <w:pPr>
        <w:numPr>
          <w:ilvl w:val="0"/>
          <w:numId w:val="32"/>
        </w:numPr>
        <w:tabs>
          <w:tab w:val="left" w:pos="420"/>
        </w:tabs>
        <w:spacing w:after="0" w:line="218" w:lineRule="auto"/>
        <w:ind w:left="426" w:right="20"/>
        <w:jc w:val="both"/>
      </w:pPr>
      <w:r>
        <w:t>Wybór najkorzystniejszej oferty będzie przeprowadzany w oparciu o takie same kryteria i zasady oddzielnie dla każdej części opisanej w charakterystyce przedmiotu zamówienia.</w:t>
      </w:r>
    </w:p>
    <w:p w14:paraId="7377FFE2" w14:textId="77777777" w:rsidR="005328F7" w:rsidRDefault="005328F7" w:rsidP="005328F7">
      <w:pPr>
        <w:numPr>
          <w:ilvl w:val="0"/>
          <w:numId w:val="32"/>
        </w:numPr>
        <w:tabs>
          <w:tab w:val="left" w:pos="420"/>
        </w:tabs>
        <w:spacing w:after="0" w:line="232" w:lineRule="auto"/>
        <w:ind w:left="426"/>
        <w:jc w:val="both"/>
      </w:pPr>
      <w:r>
        <w:t>Jeżeli w trakcie wyboru ofert pojawią się dwie lub więcej ofert z taką samą punktacją i będą one dotyczyć zamówienia bądź jego części co do którego zostanie przekroczony limit wolnych miejsc zatrudnienia, co uniemożliwi wybranie najkorzystniejszej oferty Zamawiający wezwie tych Wykonawców do złożenia ofert dodatkowych w wyznaczonym przez Zamawiającego terminie. Oferty złożone w terminie dodatkowym nie mogą zawierać ceny wyższej niż w pierwotnej ofercie. Pozostałe elementy oferty nie mogą ulec zmianie.</w:t>
      </w:r>
    </w:p>
    <w:p w14:paraId="7377FFE4" w14:textId="77777777" w:rsidR="00BA6E9B" w:rsidRDefault="00BA6E9B" w:rsidP="00BA6E9B">
      <w:pPr>
        <w:spacing w:line="20" w:lineRule="exact"/>
        <w:rPr>
          <w:rFonts w:ascii="Times New Roman" w:eastAsia="Times New Roman" w:hAnsi="Times New Roman"/>
        </w:rPr>
      </w:pPr>
    </w:p>
    <w:p w14:paraId="7377FFE5" w14:textId="77777777" w:rsidR="005328F7" w:rsidRDefault="005328F7" w:rsidP="005328F7">
      <w:pPr>
        <w:pStyle w:val="Styl1"/>
        <w:numPr>
          <w:ilvl w:val="0"/>
          <w:numId w:val="3"/>
        </w:numPr>
      </w:pPr>
      <w:r>
        <w:rPr>
          <w:b/>
        </w:rPr>
        <w:t>Wyniki postępowania</w:t>
      </w:r>
      <w:r>
        <w:tab/>
      </w:r>
    </w:p>
    <w:p w14:paraId="7377FFE6" w14:textId="77777777" w:rsidR="005328F7" w:rsidRDefault="005328F7" w:rsidP="005328F7">
      <w:pPr>
        <w:spacing w:line="0" w:lineRule="atLeast"/>
      </w:pPr>
      <w:r>
        <w:t>Zamawiający po wyborze najkorzystniejszej oferty zamieści wyniki postępowania na:</w:t>
      </w:r>
    </w:p>
    <w:p w14:paraId="7377FFE7" w14:textId="77777777" w:rsidR="005328F7" w:rsidRDefault="00FA2245" w:rsidP="005328F7">
      <w:pPr>
        <w:numPr>
          <w:ilvl w:val="0"/>
          <w:numId w:val="33"/>
        </w:numPr>
        <w:tabs>
          <w:tab w:val="left" w:pos="1440"/>
        </w:tabs>
        <w:spacing w:after="0" w:line="0" w:lineRule="atLeast"/>
        <w:ind w:left="1440" w:hanging="364"/>
      </w:pPr>
      <w:r>
        <w:t xml:space="preserve">Stronie internetowej </w:t>
      </w:r>
      <w:r w:rsidRPr="00FA2245">
        <w:rPr>
          <w:color w:val="0000FF"/>
          <w:u w:val="single"/>
        </w:rPr>
        <w:t>www.bazakonkurencyjn</w:t>
      </w:r>
      <w:r>
        <w:rPr>
          <w:color w:val="0000FF"/>
          <w:u w:val="single"/>
        </w:rPr>
        <w:t>osci.funduszeeuropejskie.gov.pl</w:t>
      </w:r>
    </w:p>
    <w:p w14:paraId="7377FFE8" w14:textId="77777777" w:rsidR="00BA6E9B" w:rsidRDefault="005328F7" w:rsidP="005328F7">
      <w:pPr>
        <w:numPr>
          <w:ilvl w:val="0"/>
          <w:numId w:val="33"/>
        </w:numPr>
        <w:tabs>
          <w:tab w:val="left" w:pos="1440"/>
        </w:tabs>
        <w:spacing w:after="0" w:line="0" w:lineRule="atLeast"/>
        <w:ind w:left="1440" w:hanging="364"/>
        <w:rPr>
          <w:rFonts w:ascii="Times New Roman" w:eastAsia="Times New Roman" w:hAnsi="Times New Roman"/>
        </w:rPr>
      </w:pPr>
      <w:r>
        <w:t xml:space="preserve">Stronie internetowej </w:t>
      </w:r>
      <w:bookmarkStart w:id="2" w:name="page8"/>
      <w:bookmarkEnd w:id="2"/>
      <w:r w:rsidR="00FA2245">
        <w:fldChar w:fldCharType="begin"/>
      </w:r>
      <w:r w:rsidR="00FA2245">
        <w:instrText xml:space="preserve"> HYPERLINK "http://www.thetakielce.pl" </w:instrText>
      </w:r>
      <w:r w:rsidR="00FA2245">
        <w:fldChar w:fldCharType="separate"/>
      </w:r>
      <w:r w:rsidR="00FA2245" w:rsidRPr="004E3EF3">
        <w:rPr>
          <w:rStyle w:val="Hipercze"/>
        </w:rPr>
        <w:t>www.thetakielce.pl</w:t>
      </w:r>
      <w:r w:rsidR="00FA2245">
        <w:fldChar w:fldCharType="end"/>
      </w:r>
      <w:r w:rsidR="00FA2245">
        <w:t xml:space="preserve"> </w:t>
      </w:r>
    </w:p>
    <w:p w14:paraId="7377FFE9" w14:textId="77777777" w:rsidR="00C60A5E" w:rsidRDefault="00C60A5E" w:rsidP="00C60A5E"/>
    <w:p w14:paraId="7377FFEA" w14:textId="77777777" w:rsidR="00FA2245" w:rsidRDefault="00FA2245" w:rsidP="00FA2245">
      <w:pPr>
        <w:pStyle w:val="Styl1"/>
        <w:numPr>
          <w:ilvl w:val="0"/>
          <w:numId w:val="3"/>
        </w:numPr>
        <w:rPr>
          <w:b/>
        </w:rPr>
      </w:pPr>
      <w:r w:rsidRPr="00FA2245">
        <w:rPr>
          <w:b/>
        </w:rPr>
        <w:t>Informację uzupełniające</w:t>
      </w:r>
    </w:p>
    <w:p w14:paraId="7377FFEB" w14:textId="25484DED" w:rsidR="00FA2245" w:rsidRDefault="00FA2245" w:rsidP="00CE414F">
      <w:pPr>
        <w:pStyle w:val="Akapitzlist"/>
        <w:numPr>
          <w:ilvl w:val="0"/>
          <w:numId w:val="36"/>
        </w:numPr>
        <w:ind w:left="426"/>
        <w:jc w:val="both"/>
      </w:pPr>
      <w:r>
        <w:t>Oferty</w:t>
      </w:r>
      <w:r>
        <w:tab/>
        <w:t>składane</w:t>
      </w:r>
      <w:r>
        <w:tab/>
        <w:t>przez  Wykonawców  muszą  spełniać</w:t>
      </w:r>
      <w:r>
        <w:tab/>
        <w:t>wszystkie</w:t>
      </w:r>
      <w:r>
        <w:tab/>
        <w:t>wymogi</w:t>
      </w:r>
      <w:r w:rsidR="00CE414F">
        <w:t xml:space="preserve"> </w:t>
      </w:r>
      <w:r>
        <w:t>przedstawione w zapytaniu ofertowym.</w:t>
      </w:r>
    </w:p>
    <w:p w14:paraId="7377FFEC" w14:textId="77777777" w:rsidR="00FA2245" w:rsidRDefault="00FA2245" w:rsidP="00FA2245">
      <w:pPr>
        <w:pStyle w:val="Akapitzlist"/>
        <w:numPr>
          <w:ilvl w:val="0"/>
          <w:numId w:val="36"/>
        </w:numPr>
        <w:ind w:left="426"/>
        <w:jc w:val="both"/>
      </w:pPr>
      <w:r>
        <w:t>W przypadku gdy Wykonawca, który złożył najkorzystniejszą ofertę odstąpi od podpisania umowy, Zamawiający może podpisać umowę z kolejnym Wykonawcą, który ofertował drugą pod względem punktów ofertę.</w:t>
      </w:r>
    </w:p>
    <w:p w14:paraId="7377FFED" w14:textId="77777777" w:rsidR="00FA2245" w:rsidRDefault="00FA2245" w:rsidP="00FA2245">
      <w:pPr>
        <w:pStyle w:val="Akapitzlist"/>
        <w:numPr>
          <w:ilvl w:val="0"/>
          <w:numId w:val="36"/>
        </w:numPr>
        <w:ind w:left="426"/>
        <w:jc w:val="both"/>
      </w:pPr>
      <w:r>
        <w:lastRenderedPageBreak/>
        <w:t>Wykonawca, który złożył najkorzystniejszą ofertę zobowiązany jest w terminie 3 dni roboczych od momentu poinformowania Wykonawcy o wyborze jego oferty do złożenia w wyznaczonym przez Zamawiającego miejscu oryginałów dokumentów potwierdzających możliwość wykonania usługi przez Wykonawcę opisanych w punkcie IV.</w:t>
      </w:r>
    </w:p>
    <w:p w14:paraId="7377FFEE" w14:textId="77777777" w:rsidR="00FA2245" w:rsidRDefault="00FA2245" w:rsidP="00FA2245">
      <w:pPr>
        <w:pStyle w:val="Akapitzlist"/>
        <w:numPr>
          <w:ilvl w:val="0"/>
          <w:numId w:val="36"/>
        </w:numPr>
        <w:ind w:left="426"/>
        <w:jc w:val="both"/>
      </w:pPr>
      <w:r>
        <w:t>Płatność za realizację przedmiotu zamówienia dokonywana będzie w terminie 14 dni kalendarzowych od daty wystawienia prawidłowego rachunku/dokumentu równoważnego. Termin płatności może ulec zmianie z powodów niezależnych od Zamawiającego uwzględniającego przekazywanie kolejnych transz dofinansowania projektu przez Instytucję Zarządzającą.</w:t>
      </w:r>
    </w:p>
    <w:p w14:paraId="7377FFEF" w14:textId="77777777" w:rsidR="00FA2245" w:rsidRDefault="00FA2245" w:rsidP="00FA2245">
      <w:pPr>
        <w:pStyle w:val="Akapitzlist"/>
        <w:numPr>
          <w:ilvl w:val="0"/>
          <w:numId w:val="36"/>
        </w:numPr>
        <w:ind w:left="426"/>
      </w:pPr>
      <w:r>
        <w:t>Wszystkie zapytania dotyczące oferty prosimy kierować na adres: thetakielce@wp.pl bądź pod numer telefonu: . Osoba do kontaktu</w:t>
      </w:r>
      <w:r w:rsidR="001D373E">
        <w:t>: Artur Brzeziński</w:t>
      </w:r>
      <w:r>
        <w:t>.</w:t>
      </w:r>
    </w:p>
    <w:p w14:paraId="7377FFF0" w14:textId="77777777" w:rsidR="00FA2245" w:rsidRDefault="00FA2245" w:rsidP="00FA2245">
      <w:pPr>
        <w:pStyle w:val="Akapitzlist"/>
        <w:numPr>
          <w:ilvl w:val="0"/>
          <w:numId w:val="36"/>
        </w:numPr>
        <w:ind w:left="426"/>
      </w:pPr>
      <w:r>
        <w:t xml:space="preserve">W przypadku zaistnienia sytuacji związanej z potrzebą dokonania stosownych zmian w umowie w celu właściwej realizacji zamówienia zastrzega się możliwość dokonania niniejszych zmian w drodze aneksu do umowy. </w:t>
      </w:r>
    </w:p>
    <w:p w14:paraId="7377FFF1" w14:textId="3BE54156" w:rsidR="002A733F" w:rsidRDefault="00FA2245" w:rsidP="00FA2245">
      <w:pPr>
        <w:pStyle w:val="Akapitzlist"/>
        <w:numPr>
          <w:ilvl w:val="0"/>
          <w:numId w:val="36"/>
        </w:numPr>
        <w:ind w:left="426"/>
      </w:pPr>
      <w:r>
        <w:t>Wskazane powyżej istotne zmiany postanowień umowy zostaną wprowadzone do umowy pod warunkiem wystąpienia w toku realizacji Projektu okoliczności uzasadniających wprowadzenie zmian w celu należytej realizacji Projektu.</w:t>
      </w:r>
    </w:p>
    <w:p w14:paraId="7377FFF2" w14:textId="77777777" w:rsidR="00AC77C8" w:rsidRDefault="002A733F" w:rsidP="002A733F">
      <w:pPr>
        <w:pStyle w:val="Styl1"/>
        <w:numPr>
          <w:ilvl w:val="0"/>
          <w:numId w:val="3"/>
        </w:numPr>
        <w:rPr>
          <w:b/>
        </w:rPr>
      </w:pPr>
      <w:r w:rsidRPr="002A733F">
        <w:rPr>
          <w:b/>
        </w:rPr>
        <w:t>Załączniki</w:t>
      </w:r>
    </w:p>
    <w:p w14:paraId="7377FFF3" w14:textId="77777777" w:rsidR="00AC77C8" w:rsidRPr="00AC77C8" w:rsidRDefault="00AC77C8" w:rsidP="00AC77C8">
      <w:pPr>
        <w:pStyle w:val="Akapitzlist"/>
        <w:ind w:left="426"/>
      </w:pPr>
      <w:r w:rsidRPr="00AC77C8">
        <w:t>Załącznik nr 1</w:t>
      </w:r>
      <w:r w:rsidRPr="00AC77C8">
        <w:tab/>
      </w:r>
      <w:r w:rsidRPr="00AC77C8">
        <w:tab/>
        <w:t>-</w:t>
      </w:r>
      <w:r w:rsidRPr="00AC77C8">
        <w:tab/>
      </w:r>
      <w:r>
        <w:t>Szczegółowy opis</w:t>
      </w:r>
      <w:r w:rsidRPr="00AC77C8">
        <w:t xml:space="preserve"> przedmiotu zamówienia</w:t>
      </w:r>
    </w:p>
    <w:p w14:paraId="7377FFF4" w14:textId="77777777" w:rsidR="00AC77C8" w:rsidRPr="00AC77C8" w:rsidRDefault="00AC77C8" w:rsidP="00AC77C8">
      <w:pPr>
        <w:pStyle w:val="Akapitzlist"/>
        <w:ind w:left="426"/>
      </w:pPr>
      <w:r w:rsidRPr="00AC77C8">
        <w:t>Załącznik nr 2</w:t>
      </w:r>
      <w:r w:rsidRPr="00AC77C8">
        <w:tab/>
      </w:r>
      <w:r w:rsidRPr="00AC77C8">
        <w:tab/>
        <w:t>-</w:t>
      </w:r>
      <w:r w:rsidRPr="00AC77C8">
        <w:tab/>
      </w:r>
      <w:r w:rsidR="00CB0672">
        <w:t>Formularz ofertowy</w:t>
      </w:r>
    </w:p>
    <w:p w14:paraId="7377FFF5" w14:textId="77777777" w:rsidR="00AC77C8" w:rsidRPr="00AC77C8" w:rsidRDefault="00AC77C8" w:rsidP="00AC77C8">
      <w:pPr>
        <w:pStyle w:val="Akapitzlist"/>
        <w:ind w:left="426"/>
      </w:pPr>
      <w:r w:rsidRPr="00AC77C8">
        <w:t>Załącznik</w:t>
      </w:r>
      <w:r w:rsidR="00CB0672">
        <w:t xml:space="preserve"> nr 3</w:t>
      </w:r>
      <w:r w:rsidR="00CB0672">
        <w:tab/>
      </w:r>
      <w:r w:rsidR="00CB0672">
        <w:tab/>
        <w:t>-</w:t>
      </w:r>
      <w:r w:rsidR="00CB0672">
        <w:tab/>
        <w:t>O</w:t>
      </w:r>
      <w:r w:rsidRPr="00AC77C8">
        <w:t>świadczenie</w:t>
      </w:r>
      <w:r>
        <w:t xml:space="preserve"> o spełnieniu warunków</w:t>
      </w:r>
    </w:p>
    <w:p w14:paraId="7377FFF6" w14:textId="77777777" w:rsidR="00AC77C8" w:rsidRPr="00AC77C8" w:rsidRDefault="00AC77C8" w:rsidP="00AC77C8">
      <w:pPr>
        <w:pStyle w:val="Akapitzlist"/>
        <w:ind w:left="426"/>
      </w:pPr>
      <w:r w:rsidRPr="00AC77C8">
        <w:t>Załącznik nr 4</w:t>
      </w:r>
      <w:r w:rsidRPr="00AC77C8">
        <w:tab/>
      </w:r>
      <w:r w:rsidRPr="00AC77C8">
        <w:tab/>
        <w:t>-</w:t>
      </w:r>
      <w:r w:rsidRPr="00AC77C8">
        <w:tab/>
      </w:r>
      <w:r w:rsidR="00CB0672">
        <w:t>O</w:t>
      </w:r>
      <w:r>
        <w:t>świadczenie o braku powiązań</w:t>
      </w:r>
    </w:p>
    <w:p w14:paraId="7377FFF7" w14:textId="570300A6" w:rsidR="00AC77C8" w:rsidRPr="00AC77C8" w:rsidRDefault="00CB0672" w:rsidP="00AC77C8">
      <w:pPr>
        <w:pStyle w:val="Akapitzlist"/>
        <w:ind w:left="426"/>
      </w:pPr>
      <w:r>
        <w:t>Załącznik nr 5</w:t>
      </w:r>
      <w:r>
        <w:tab/>
      </w:r>
      <w:r>
        <w:tab/>
        <w:t>-</w:t>
      </w:r>
      <w:r>
        <w:tab/>
        <w:t>W</w:t>
      </w:r>
      <w:r w:rsidR="00AC77C8" w:rsidRPr="00AC77C8">
        <w:t>ykaz dostaw</w:t>
      </w:r>
      <w:r w:rsidR="00AC77C8">
        <w:br/>
      </w:r>
      <w:r w:rsidR="00AC77C8" w:rsidRPr="00AC77C8">
        <w:t xml:space="preserve">Załącznik nr </w:t>
      </w:r>
      <w:r w:rsidR="00C90C6F">
        <w:t>6</w:t>
      </w:r>
      <w:r w:rsidR="00AC77C8" w:rsidRPr="00AC77C8">
        <w:tab/>
      </w:r>
      <w:r w:rsidR="00AC77C8" w:rsidRPr="00AC77C8">
        <w:tab/>
        <w:t>-</w:t>
      </w:r>
      <w:r w:rsidR="00AC77C8" w:rsidRPr="00AC77C8">
        <w:tab/>
      </w:r>
      <w:r>
        <w:t>W</w:t>
      </w:r>
      <w:r w:rsidR="00AC77C8">
        <w:t>zór umowy</w:t>
      </w:r>
    </w:p>
    <w:p w14:paraId="7377FFF8" w14:textId="77777777" w:rsidR="00AC77C8" w:rsidRPr="00AC77C8" w:rsidRDefault="00AC77C8" w:rsidP="00AC77C8">
      <w:pPr>
        <w:pStyle w:val="Akapitzlist"/>
        <w:ind w:left="426"/>
      </w:pPr>
    </w:p>
    <w:p w14:paraId="7377FFF9" w14:textId="77777777" w:rsidR="00FA2245" w:rsidRPr="00AC77C8" w:rsidRDefault="00FA2245" w:rsidP="00AC77C8">
      <w:pPr>
        <w:tabs>
          <w:tab w:val="left" w:pos="930"/>
        </w:tabs>
      </w:pPr>
    </w:p>
    <w:sectPr w:rsidR="00FA2245" w:rsidRPr="00AC77C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76CF3" w14:textId="77777777" w:rsidR="00C854E6" w:rsidRDefault="00C854E6" w:rsidP="00782323">
      <w:pPr>
        <w:spacing w:after="0" w:line="240" w:lineRule="auto"/>
      </w:pPr>
      <w:r>
        <w:separator/>
      </w:r>
    </w:p>
  </w:endnote>
  <w:endnote w:type="continuationSeparator" w:id="0">
    <w:p w14:paraId="7190D6E3" w14:textId="77777777" w:rsidR="00C854E6" w:rsidRDefault="00C854E6" w:rsidP="0078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23" w:type="dxa"/>
      <w:tblInd w:w="-969" w:type="dxa"/>
      <w:tblLook w:val="04A0" w:firstRow="1" w:lastRow="0" w:firstColumn="1" w:lastColumn="0" w:noHBand="0" w:noVBand="1"/>
    </w:tblPr>
    <w:tblGrid>
      <w:gridCol w:w="1530"/>
      <w:gridCol w:w="9493"/>
    </w:tblGrid>
    <w:tr w:rsidR="00782323" w:rsidRPr="009A4FA4" w14:paraId="73780007" w14:textId="77777777" w:rsidTr="000D6CC0">
      <w:tc>
        <w:tcPr>
          <w:tcW w:w="1384" w:type="dxa"/>
          <w:shd w:val="clear" w:color="auto" w:fill="auto"/>
          <w:vAlign w:val="center"/>
        </w:tcPr>
        <w:p w14:paraId="73780004" w14:textId="77777777" w:rsidR="00782323" w:rsidRPr="009A4FA4" w:rsidRDefault="00782323" w:rsidP="00782323">
          <w:pPr>
            <w:ind w:left="294"/>
            <w:jc w:val="center"/>
            <w:rPr>
              <w:sz w:val="18"/>
              <w:szCs w:val="18"/>
            </w:rPr>
          </w:pPr>
          <w:r w:rsidRPr="00394C82">
            <w:rPr>
              <w:b/>
              <w:noProof/>
              <w:sz w:val="18"/>
              <w:szCs w:val="18"/>
              <w:u w:val="single"/>
              <w:lang w:eastAsia="pl-PL"/>
            </w:rPr>
            <w:drawing>
              <wp:inline distT="0" distB="0" distL="0" distR="0" wp14:anchorId="73780011" wp14:editId="73780012">
                <wp:extent cx="638175" cy="323850"/>
                <wp:effectExtent l="0" t="0" r="9525" b="0"/>
                <wp:docPr id="59" name="Obraz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shd w:val="clear" w:color="auto" w:fill="auto"/>
          <w:vAlign w:val="center"/>
        </w:tcPr>
        <w:p w14:paraId="73780005" w14:textId="77777777" w:rsidR="00782323" w:rsidRPr="009A4FA4" w:rsidRDefault="00782323" w:rsidP="00782323">
          <w:pPr>
            <w:tabs>
              <w:tab w:val="center" w:pos="4680"/>
              <w:tab w:val="right" w:pos="9360"/>
            </w:tabs>
            <w:jc w:val="center"/>
            <w:rPr>
              <w:b/>
              <w:sz w:val="18"/>
              <w:szCs w:val="18"/>
            </w:rPr>
          </w:pPr>
          <w:r w:rsidRPr="009A4FA4">
            <w:rPr>
              <w:b/>
              <w:sz w:val="18"/>
              <w:szCs w:val="18"/>
            </w:rPr>
            <w:t>Ośrodek Kształcenia i Promowania Kadr THETA</w:t>
          </w:r>
        </w:p>
        <w:p w14:paraId="73780006" w14:textId="0D5650EB" w:rsidR="00782323" w:rsidRPr="009A4FA4" w:rsidRDefault="00782323" w:rsidP="00782323">
          <w:pPr>
            <w:tabs>
              <w:tab w:val="center" w:pos="4680"/>
              <w:tab w:val="right" w:pos="9360"/>
            </w:tabs>
            <w:ind w:right="606"/>
            <w:jc w:val="center"/>
            <w:rPr>
              <w:sz w:val="18"/>
              <w:szCs w:val="18"/>
            </w:rPr>
          </w:pPr>
          <w:r w:rsidRPr="009A4FA4">
            <w:rPr>
              <w:sz w:val="18"/>
              <w:szCs w:val="18"/>
            </w:rPr>
            <w:t>Biuro projektu: ul. Leszczyńska 45, 25-321 Kielce</w:t>
          </w:r>
          <w:r w:rsidR="00632CFC">
            <w:rPr>
              <w:sz w:val="18"/>
              <w:szCs w:val="18"/>
            </w:rPr>
            <w:t xml:space="preserve">, </w:t>
          </w:r>
          <w:r w:rsidRPr="009A4FA4">
            <w:rPr>
              <w:sz w:val="18"/>
              <w:szCs w:val="18"/>
            </w:rPr>
            <w:t xml:space="preserve">Tel. 792 001 138, </w:t>
          </w:r>
          <w:hyperlink r:id="rId2" w:history="1">
            <w:r w:rsidRPr="009A4FA4">
              <w:rPr>
                <w:color w:val="000000"/>
                <w:sz w:val="18"/>
                <w:szCs w:val="18"/>
                <w:u w:val="single"/>
              </w:rPr>
              <w:t>www.thetakielce.pl</w:t>
            </w:r>
          </w:hyperlink>
          <w:r w:rsidRPr="009A4FA4">
            <w:rPr>
              <w:sz w:val="18"/>
              <w:szCs w:val="18"/>
            </w:rPr>
            <w:t>,</w:t>
          </w:r>
          <w:r>
            <w:rPr>
              <w:sz w:val="18"/>
              <w:szCs w:val="18"/>
            </w:rPr>
            <w:t xml:space="preserve"> email: </w:t>
          </w:r>
          <w:r w:rsidR="00632CFC">
            <w:rPr>
              <w:sz w:val="18"/>
              <w:szCs w:val="18"/>
            </w:rPr>
            <w:t>biuro@thetakielce.pl</w:t>
          </w:r>
        </w:p>
      </w:tc>
    </w:tr>
  </w:tbl>
  <w:p w14:paraId="73780008" w14:textId="77777777" w:rsidR="00782323" w:rsidRDefault="00782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AA0D0" w14:textId="77777777" w:rsidR="00C854E6" w:rsidRDefault="00C854E6" w:rsidP="00782323">
      <w:pPr>
        <w:spacing w:after="0" w:line="240" w:lineRule="auto"/>
      </w:pPr>
      <w:r>
        <w:separator/>
      </w:r>
    </w:p>
  </w:footnote>
  <w:footnote w:type="continuationSeparator" w:id="0">
    <w:p w14:paraId="5A32878E" w14:textId="77777777" w:rsidR="00C854E6" w:rsidRDefault="00C854E6" w:rsidP="00782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782323" w:rsidRPr="004275E2" w14:paraId="73780002" w14:textId="77777777" w:rsidTr="000D6CC0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377FFFE" w14:textId="77777777" w:rsidR="00782323" w:rsidRPr="004275E2" w:rsidRDefault="00782323" w:rsidP="00782323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311BB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3780009" wp14:editId="7378000A">
                <wp:extent cx="1028700" cy="438150"/>
                <wp:effectExtent l="0" t="0" r="0" b="0"/>
                <wp:docPr id="55" name="Obraz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377FFFF" w14:textId="77777777" w:rsidR="00782323" w:rsidRPr="004275E2" w:rsidRDefault="00782323" w:rsidP="00782323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311BB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378000B" wp14:editId="7378000C">
                <wp:extent cx="1409700" cy="438150"/>
                <wp:effectExtent l="0" t="0" r="0" b="0"/>
                <wp:docPr id="56" name="Obraz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3780000" w14:textId="77777777" w:rsidR="00782323" w:rsidRPr="004275E2" w:rsidRDefault="00782323" w:rsidP="00782323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311BB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378000D" wp14:editId="7378000E">
                <wp:extent cx="962025" cy="438150"/>
                <wp:effectExtent l="0" t="0" r="9525" b="0"/>
                <wp:docPr id="57" name="Obraz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3780001" w14:textId="77777777" w:rsidR="00782323" w:rsidRPr="004275E2" w:rsidRDefault="00782323" w:rsidP="00782323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311BB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378000F" wp14:editId="73780010">
                <wp:extent cx="1371600" cy="466725"/>
                <wp:effectExtent l="0" t="0" r="0" b="9525"/>
                <wp:docPr id="58" name="Obraz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780003" w14:textId="77777777" w:rsidR="00782323" w:rsidRPr="00782323" w:rsidRDefault="00782323" w:rsidP="007823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257130A2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hybridMultilevel"/>
    <w:tmpl w:val="676384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6"/>
    <w:multiLevelType w:val="hybridMultilevel"/>
    <w:tmpl w:val="CEB69186"/>
    <w:lvl w:ilvl="0" w:tplc="239CA4FC">
      <w:start w:val="1"/>
      <w:numFmt w:val="decimal"/>
      <w:lvlText w:val="%1."/>
      <w:lvlJc w:val="left"/>
      <w:rPr>
        <w:rFonts w:asciiTheme="minorHAnsi" w:eastAsiaTheme="minorHAnsi" w:hAnsiTheme="minorHAnsi" w:cstheme="minorBidi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7"/>
    <w:multiLevelType w:val="hybridMultilevel"/>
    <w:tmpl w:val="3A95F874"/>
    <w:lvl w:ilvl="0" w:tplc="FFFFFFFF">
      <w:start w:val="3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8"/>
    <w:multiLevelType w:val="hybridMultilevel"/>
    <w:tmpl w:val="3FBA1D84"/>
    <w:lvl w:ilvl="0" w:tplc="FFFFFFFF">
      <w:start w:val="1"/>
      <w:numFmt w:val="decimal"/>
      <w:lvlText w:val="%1"/>
      <w:lvlJc w:val="left"/>
    </w:lvl>
    <w:lvl w:ilvl="1" w:tplc="FFFFFFFF">
      <w:start w:val="5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9"/>
    <w:multiLevelType w:val="hybridMultilevel"/>
    <w:tmpl w:val="1E7FF520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A"/>
    <w:multiLevelType w:val="hybridMultilevel"/>
    <w:tmpl w:val="E4505C22"/>
    <w:lvl w:ilvl="0" w:tplc="FFFFFFFF">
      <w:start w:val="1"/>
      <w:numFmt w:val="decimal"/>
      <w:lvlText w:val="%1."/>
      <w:lvlJc w:val="left"/>
    </w:lvl>
    <w:lvl w:ilvl="1" w:tplc="FFFFFFFF">
      <w:start w:val="3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B"/>
    <w:multiLevelType w:val="hybridMultilevel"/>
    <w:tmpl w:val="737B8DD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C"/>
    <w:multiLevelType w:val="hybridMultilevel"/>
    <w:tmpl w:val="6CEAF086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D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E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F"/>
    <w:multiLevelType w:val="hybridMultilevel"/>
    <w:tmpl w:val="3006C83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0"/>
    <w:multiLevelType w:val="hybridMultilevel"/>
    <w:tmpl w:val="614FD4A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1"/>
    <w:multiLevelType w:val="hybridMultilevel"/>
    <w:tmpl w:val="419AC24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2"/>
    <w:multiLevelType w:val="hybridMultilevel"/>
    <w:tmpl w:val="5577F8E0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4B37530"/>
    <w:multiLevelType w:val="hybridMultilevel"/>
    <w:tmpl w:val="14986C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0433E2"/>
    <w:multiLevelType w:val="hybridMultilevel"/>
    <w:tmpl w:val="40B6D0CA"/>
    <w:lvl w:ilvl="0" w:tplc="50B833A4">
      <w:start w:val="1"/>
      <w:numFmt w:val="lowerLetter"/>
      <w:lvlText w:val="%1."/>
      <w:lvlJc w:val="left"/>
      <w:rPr>
        <w:b w:val="0"/>
      </w:rPr>
    </w:lvl>
    <w:lvl w:ilvl="1" w:tplc="FFFFFFFF">
      <w:start w:val="3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19DA7D27"/>
    <w:multiLevelType w:val="hybridMultilevel"/>
    <w:tmpl w:val="F29AB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B5850"/>
    <w:multiLevelType w:val="multilevel"/>
    <w:tmpl w:val="CEB69186"/>
    <w:lvl w:ilvl="0">
      <w:start w:val="1"/>
      <w:numFmt w:val="decimal"/>
      <w:lvlText w:val="%1."/>
      <w:lvlJc w:val="left"/>
      <w:rPr>
        <w:rFonts w:asciiTheme="minorHAnsi" w:eastAsiaTheme="minorHAnsi" w:hAnsiTheme="minorHAnsi" w:cstheme="minorBidi"/>
      </w:rPr>
    </w:lvl>
    <w:lvl w:ilvl="1">
      <w:start w:val="1"/>
      <w:numFmt w:val="upperLetter"/>
      <w:lvlText w:val="%2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 w15:restartNumberingAfterBreak="0">
    <w:nsid w:val="1A833CBB"/>
    <w:multiLevelType w:val="hybridMultilevel"/>
    <w:tmpl w:val="A0F42212"/>
    <w:lvl w:ilvl="0" w:tplc="F89E71D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232CE9"/>
    <w:multiLevelType w:val="hybridMultilevel"/>
    <w:tmpl w:val="10ACD9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606C5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0D0D06"/>
    <w:multiLevelType w:val="hybridMultilevel"/>
    <w:tmpl w:val="5C3489D6"/>
    <w:lvl w:ilvl="0" w:tplc="0B784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C593A"/>
    <w:multiLevelType w:val="hybridMultilevel"/>
    <w:tmpl w:val="AF90CE72"/>
    <w:lvl w:ilvl="0" w:tplc="9BF0DE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0B833A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A82FEE4">
      <w:start w:val="2"/>
      <w:numFmt w:val="lowerLetter"/>
      <w:lvlText w:val="%4)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F0125"/>
    <w:multiLevelType w:val="hybridMultilevel"/>
    <w:tmpl w:val="136A1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0038F"/>
    <w:multiLevelType w:val="hybridMultilevel"/>
    <w:tmpl w:val="DDD84378"/>
    <w:lvl w:ilvl="0" w:tplc="0415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26" w15:restartNumberingAfterBreak="0">
    <w:nsid w:val="504D5358"/>
    <w:multiLevelType w:val="hybridMultilevel"/>
    <w:tmpl w:val="8D92B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D37CC"/>
    <w:multiLevelType w:val="hybridMultilevel"/>
    <w:tmpl w:val="A2BC9C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5075ED"/>
    <w:multiLevelType w:val="hybridMultilevel"/>
    <w:tmpl w:val="7FE88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C0298"/>
    <w:multiLevelType w:val="hybridMultilevel"/>
    <w:tmpl w:val="6DCCA4F0"/>
    <w:lvl w:ilvl="0" w:tplc="7B0E4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C0D83C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D3895"/>
    <w:multiLevelType w:val="hybridMultilevel"/>
    <w:tmpl w:val="F0741BB4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1" w15:restartNumberingAfterBreak="0">
    <w:nsid w:val="6CCB78A7"/>
    <w:multiLevelType w:val="hybridMultilevel"/>
    <w:tmpl w:val="B468835A"/>
    <w:lvl w:ilvl="0" w:tplc="7AF46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80F2F"/>
    <w:multiLevelType w:val="hybridMultilevel"/>
    <w:tmpl w:val="AF90CE72"/>
    <w:lvl w:ilvl="0" w:tplc="9BF0DE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0B833A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A82FEE4">
      <w:start w:val="2"/>
      <w:numFmt w:val="lowerLetter"/>
      <w:lvlText w:val="%4)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93C81"/>
    <w:multiLevelType w:val="hybridMultilevel"/>
    <w:tmpl w:val="AA528D28"/>
    <w:lvl w:ilvl="0" w:tplc="4D24D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F68F6"/>
    <w:multiLevelType w:val="hybridMultilevel"/>
    <w:tmpl w:val="F4562E5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7427467C"/>
    <w:multiLevelType w:val="hybridMultilevel"/>
    <w:tmpl w:val="0BD41AC6"/>
    <w:lvl w:ilvl="0" w:tplc="0415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F59B6"/>
    <w:multiLevelType w:val="multilevel"/>
    <w:tmpl w:val="626A0DEA"/>
    <w:lvl w:ilvl="0">
      <w:start w:val="5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num w:numId="1">
    <w:abstractNumId w:val="31"/>
  </w:num>
  <w:num w:numId="2">
    <w:abstractNumId w:val="24"/>
  </w:num>
  <w:num w:numId="3">
    <w:abstractNumId w:val="20"/>
  </w:num>
  <w:num w:numId="4">
    <w:abstractNumId w:val="28"/>
  </w:num>
  <w:num w:numId="5">
    <w:abstractNumId w:val="0"/>
  </w:num>
  <w:num w:numId="6">
    <w:abstractNumId w:val="1"/>
  </w:num>
  <w:num w:numId="7">
    <w:abstractNumId w:val="27"/>
  </w:num>
  <w:num w:numId="8">
    <w:abstractNumId w:val="26"/>
  </w:num>
  <w:num w:numId="9">
    <w:abstractNumId w:val="18"/>
  </w:num>
  <w:num w:numId="10">
    <w:abstractNumId w:val="32"/>
  </w:num>
  <w:num w:numId="11">
    <w:abstractNumId w:val="36"/>
  </w:num>
  <w:num w:numId="12">
    <w:abstractNumId w:val="25"/>
  </w:num>
  <w:num w:numId="13">
    <w:abstractNumId w:val="34"/>
  </w:num>
  <w:num w:numId="14">
    <w:abstractNumId w:val="23"/>
  </w:num>
  <w:num w:numId="15">
    <w:abstractNumId w:val="2"/>
  </w:num>
  <w:num w:numId="16">
    <w:abstractNumId w:val="30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19"/>
  </w:num>
  <w:num w:numId="22">
    <w:abstractNumId w:val="16"/>
  </w:num>
  <w:num w:numId="23">
    <w:abstractNumId w:val="21"/>
  </w:num>
  <w:num w:numId="24">
    <w:abstractNumId w:val="7"/>
  </w:num>
  <w:num w:numId="25">
    <w:abstractNumId w:val="8"/>
  </w:num>
  <w:num w:numId="26">
    <w:abstractNumId w:val="9"/>
  </w:num>
  <w:num w:numId="27">
    <w:abstractNumId w:val="17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29"/>
  </w:num>
  <w:num w:numId="33">
    <w:abstractNumId w:val="14"/>
  </w:num>
  <w:num w:numId="34">
    <w:abstractNumId w:val="15"/>
  </w:num>
  <w:num w:numId="35">
    <w:abstractNumId w:val="33"/>
  </w:num>
  <w:num w:numId="36">
    <w:abstractNumId w:val="22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317"/>
    <w:rsid w:val="00015081"/>
    <w:rsid w:val="00173970"/>
    <w:rsid w:val="00197924"/>
    <w:rsid w:val="001D373E"/>
    <w:rsid w:val="00206317"/>
    <w:rsid w:val="00245DE0"/>
    <w:rsid w:val="00265C44"/>
    <w:rsid w:val="002A4680"/>
    <w:rsid w:val="002A733F"/>
    <w:rsid w:val="002C234B"/>
    <w:rsid w:val="002D50E5"/>
    <w:rsid w:val="00337D0E"/>
    <w:rsid w:val="004008C1"/>
    <w:rsid w:val="004A42E2"/>
    <w:rsid w:val="005003BD"/>
    <w:rsid w:val="005223E1"/>
    <w:rsid w:val="005267C3"/>
    <w:rsid w:val="005328F7"/>
    <w:rsid w:val="005618C9"/>
    <w:rsid w:val="00632CFC"/>
    <w:rsid w:val="006807D4"/>
    <w:rsid w:val="006A488F"/>
    <w:rsid w:val="00705546"/>
    <w:rsid w:val="00761079"/>
    <w:rsid w:val="00782323"/>
    <w:rsid w:val="007D4D6E"/>
    <w:rsid w:val="009134EB"/>
    <w:rsid w:val="00A27300"/>
    <w:rsid w:val="00A6207B"/>
    <w:rsid w:val="00AC77C8"/>
    <w:rsid w:val="00AE2054"/>
    <w:rsid w:val="00AF3CFC"/>
    <w:rsid w:val="00B37EA9"/>
    <w:rsid w:val="00B87165"/>
    <w:rsid w:val="00BA6E9B"/>
    <w:rsid w:val="00BE0B85"/>
    <w:rsid w:val="00C01061"/>
    <w:rsid w:val="00C32F15"/>
    <w:rsid w:val="00C60A5E"/>
    <w:rsid w:val="00C736B7"/>
    <w:rsid w:val="00C854E6"/>
    <w:rsid w:val="00C90C6F"/>
    <w:rsid w:val="00C93FDA"/>
    <w:rsid w:val="00CA54F9"/>
    <w:rsid w:val="00CB0672"/>
    <w:rsid w:val="00CE414F"/>
    <w:rsid w:val="00D3586B"/>
    <w:rsid w:val="00D475F4"/>
    <w:rsid w:val="00D56235"/>
    <w:rsid w:val="00D64F5C"/>
    <w:rsid w:val="00DA10D3"/>
    <w:rsid w:val="00DF464D"/>
    <w:rsid w:val="00E1613C"/>
    <w:rsid w:val="00EA0492"/>
    <w:rsid w:val="00F144F6"/>
    <w:rsid w:val="00FA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7FF3D"/>
  <w15:chartTrackingRefBased/>
  <w15:docId w15:val="{A0E2F694-B295-4268-9FAC-F8FBC345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3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C736B7"/>
    <w:pPr>
      <w:spacing w:after="120" w:line="276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736B7"/>
    <w:rPr>
      <w:rFonts w:ascii="Calibri" w:eastAsia="Times New Roman" w:hAnsi="Calibri" w:cs="Times New Roman"/>
      <w:sz w:val="16"/>
      <w:szCs w:val="16"/>
    </w:rPr>
  </w:style>
  <w:style w:type="character" w:styleId="Hipercze">
    <w:name w:val="Hyperlink"/>
    <w:uiPriority w:val="99"/>
    <w:rsid w:val="00C736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36B7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36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36B7"/>
    <w:rPr>
      <w:i/>
      <w:iCs/>
      <w:color w:val="5B9BD5" w:themeColor="accent1"/>
    </w:rPr>
  </w:style>
  <w:style w:type="paragraph" w:customStyle="1" w:styleId="Styl1">
    <w:name w:val="Styl1"/>
    <w:basedOn w:val="Cytatintensywny"/>
    <w:link w:val="Styl1Znak"/>
    <w:qFormat/>
    <w:rsid w:val="00CA54F9"/>
    <w:pPr>
      <w:pBdr>
        <w:left w:val="single" w:sz="4" w:space="4" w:color="5B9BD5" w:themeColor="accent1"/>
        <w:right w:val="single" w:sz="4" w:space="4" w:color="5B9BD5" w:themeColor="accent1"/>
      </w:pBdr>
      <w:ind w:left="0"/>
      <w:jc w:val="left"/>
    </w:pPr>
    <w:rPr>
      <w:i w:val="0"/>
      <w:color w:val="auto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54F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tyl1Znak">
    <w:name w:val="Styl1 Znak"/>
    <w:basedOn w:val="CytatintensywnyZnak"/>
    <w:link w:val="Styl1"/>
    <w:rsid w:val="00CA54F9"/>
    <w:rPr>
      <w:i w:val="0"/>
      <w:iCs/>
      <w:color w:val="5B9BD5" w:themeColor="accent1"/>
    </w:rPr>
  </w:style>
  <w:style w:type="character" w:customStyle="1" w:styleId="PodtytuZnak">
    <w:name w:val="Podtytuł Znak"/>
    <w:basedOn w:val="Domylnaczcionkaakapitu"/>
    <w:link w:val="Podtytu"/>
    <w:uiPriority w:val="11"/>
    <w:rsid w:val="00CA54F9"/>
    <w:rPr>
      <w:rFonts w:eastAsiaTheme="minorEastAsia"/>
      <w:color w:val="5A5A5A" w:themeColor="text1" w:themeTint="A5"/>
      <w:spacing w:val="15"/>
    </w:rPr>
  </w:style>
  <w:style w:type="paragraph" w:customStyle="1" w:styleId="pkt">
    <w:name w:val="pkt"/>
    <w:basedOn w:val="Normalny"/>
    <w:rsid w:val="00E1613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08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08C1"/>
  </w:style>
  <w:style w:type="paragraph" w:styleId="Nagwek">
    <w:name w:val="header"/>
    <w:basedOn w:val="Normalny"/>
    <w:link w:val="NagwekZnak"/>
    <w:uiPriority w:val="99"/>
    <w:unhideWhenUsed/>
    <w:rsid w:val="00782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323"/>
  </w:style>
  <w:style w:type="paragraph" w:styleId="Stopka">
    <w:name w:val="footer"/>
    <w:basedOn w:val="Normalny"/>
    <w:link w:val="StopkaZnak"/>
    <w:uiPriority w:val="99"/>
    <w:unhideWhenUsed/>
    <w:rsid w:val="00782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323"/>
  </w:style>
  <w:style w:type="character" w:styleId="Nierozpoznanawzmianka">
    <w:name w:val="Unresolved Mention"/>
    <w:basedOn w:val="Domylnaczcionkaakapitu"/>
    <w:uiPriority w:val="99"/>
    <w:semiHidden/>
    <w:unhideWhenUsed/>
    <w:rsid w:val="00CE4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iuro@thetakielce.pl%20" TargetMode="External"/><Relationship Id="rId3" Type="http://schemas.openxmlformats.org/officeDocument/2006/relationships/settings" Target="settings.xml"/><Relationship Id="rId7" Type="http://schemas.openxmlformats.org/officeDocument/2006/relationships/hyperlink" Target="biuro@thetakiel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takielce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2895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Frączek-Broda</dc:creator>
  <cp:keywords/>
  <dc:description/>
  <cp:lastModifiedBy>WOJCIECH BRZEZIŃSKI</cp:lastModifiedBy>
  <cp:revision>4</cp:revision>
  <dcterms:created xsi:type="dcterms:W3CDTF">2020-12-15T21:09:00Z</dcterms:created>
  <dcterms:modified xsi:type="dcterms:W3CDTF">2021-01-20T22:19:00Z</dcterms:modified>
</cp:coreProperties>
</file>